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FCB49" w14:textId="77777777" w:rsidR="003B7D0D" w:rsidRPr="003B7D0D" w:rsidRDefault="003B7D0D" w:rsidP="003B7D0D">
      <w:pPr>
        <w:shd w:val="clear" w:color="auto" w:fill="FFFFFF"/>
        <w:spacing w:after="0" w:line="240" w:lineRule="auto"/>
        <w:textAlignment w:val="top"/>
        <w:rPr>
          <w:rFonts w:ascii="inherit" w:eastAsia="Times New Roman" w:hAnsi="inherit" w:cs="Times New Roman"/>
          <w:color w:val="333333"/>
          <w:kern w:val="0"/>
          <w:sz w:val="19"/>
          <w:szCs w:val="19"/>
          <w14:ligatures w14:val="none"/>
        </w:rPr>
      </w:pPr>
      <w:r w:rsidRPr="003B7D0D">
        <w:rPr>
          <w:rFonts w:ascii="inherit" w:eastAsia="Times New Roman" w:hAnsi="inherit" w:cs="Times New Roman"/>
          <w:color w:val="333333"/>
          <w:kern w:val="0"/>
          <w:sz w:val="19"/>
          <w:szCs w:val="19"/>
          <w14:ligatures w14:val="none"/>
        </w:rPr>
        <w:t>Book</w:t>
      </w:r>
    </w:p>
    <w:p w14:paraId="5ED68ADB" w14:textId="77777777" w:rsidR="003B7D0D" w:rsidRPr="003B7D0D" w:rsidRDefault="003B7D0D" w:rsidP="003B7D0D">
      <w:pPr>
        <w:shd w:val="clear" w:color="auto" w:fill="FFFFFF"/>
        <w:spacing w:after="0" w:line="240" w:lineRule="auto"/>
        <w:textAlignment w:val="top"/>
        <w:rPr>
          <w:rFonts w:ascii="inherit" w:eastAsia="Times New Roman" w:hAnsi="inherit" w:cs="Times New Roman"/>
          <w:color w:val="333333"/>
          <w:kern w:val="0"/>
          <w:sz w:val="19"/>
          <w:szCs w:val="19"/>
          <w14:ligatures w14:val="none"/>
        </w:rPr>
      </w:pPr>
      <w:r w:rsidRPr="003B7D0D">
        <w:rPr>
          <w:rFonts w:ascii="inherit" w:eastAsia="Times New Roman" w:hAnsi="inherit" w:cs="Times New Roman"/>
          <w:color w:val="333333"/>
          <w:kern w:val="0"/>
          <w:sz w:val="19"/>
          <w:szCs w:val="19"/>
          <w14:ligatures w14:val="none"/>
        </w:rPr>
        <w:t>Policy Manual</w:t>
      </w:r>
    </w:p>
    <w:p w14:paraId="6799DD81" w14:textId="77777777" w:rsidR="003B7D0D" w:rsidRPr="003B7D0D" w:rsidRDefault="003B7D0D" w:rsidP="003B7D0D">
      <w:pPr>
        <w:shd w:val="clear" w:color="auto" w:fill="FFFFFF"/>
        <w:spacing w:after="0" w:line="240" w:lineRule="auto"/>
        <w:textAlignment w:val="top"/>
        <w:rPr>
          <w:rFonts w:ascii="inherit" w:eastAsia="Times New Roman" w:hAnsi="inherit" w:cs="Times New Roman"/>
          <w:color w:val="333333"/>
          <w:kern w:val="0"/>
          <w:sz w:val="19"/>
          <w:szCs w:val="19"/>
          <w14:ligatures w14:val="none"/>
        </w:rPr>
      </w:pPr>
      <w:r w:rsidRPr="003B7D0D">
        <w:rPr>
          <w:rFonts w:ascii="inherit" w:eastAsia="Times New Roman" w:hAnsi="inherit" w:cs="Times New Roman"/>
          <w:color w:val="333333"/>
          <w:kern w:val="0"/>
          <w:sz w:val="19"/>
          <w:szCs w:val="19"/>
          <w14:ligatures w14:val="none"/>
        </w:rPr>
        <w:t>Section</w:t>
      </w:r>
    </w:p>
    <w:p w14:paraId="14D397ED" w14:textId="77777777" w:rsidR="003B7D0D" w:rsidRPr="003B7D0D" w:rsidRDefault="003B7D0D" w:rsidP="003B7D0D">
      <w:pPr>
        <w:shd w:val="clear" w:color="auto" w:fill="FFFFFF"/>
        <w:spacing w:after="0" w:line="240" w:lineRule="auto"/>
        <w:textAlignment w:val="top"/>
        <w:rPr>
          <w:rFonts w:ascii="inherit" w:eastAsia="Times New Roman" w:hAnsi="inherit" w:cs="Times New Roman"/>
          <w:color w:val="333333"/>
          <w:kern w:val="0"/>
          <w:sz w:val="19"/>
          <w:szCs w:val="19"/>
          <w14:ligatures w14:val="none"/>
        </w:rPr>
      </w:pPr>
      <w:r w:rsidRPr="003B7D0D">
        <w:rPr>
          <w:rFonts w:ascii="inherit" w:eastAsia="Times New Roman" w:hAnsi="inherit" w:cs="Times New Roman"/>
          <w:color w:val="333333"/>
          <w:kern w:val="0"/>
          <w:sz w:val="19"/>
          <w:szCs w:val="19"/>
          <w14:ligatures w14:val="none"/>
        </w:rPr>
        <w:t>2000 Program</w:t>
      </w:r>
    </w:p>
    <w:p w14:paraId="14780E75" w14:textId="77777777" w:rsidR="003B7D0D" w:rsidRPr="003B7D0D" w:rsidRDefault="003B7D0D" w:rsidP="003B7D0D">
      <w:pPr>
        <w:shd w:val="clear" w:color="auto" w:fill="FFFFFF"/>
        <w:spacing w:after="0" w:line="240" w:lineRule="auto"/>
        <w:textAlignment w:val="top"/>
        <w:rPr>
          <w:rFonts w:ascii="inherit" w:eastAsia="Times New Roman" w:hAnsi="inherit" w:cs="Times New Roman"/>
          <w:color w:val="333333"/>
          <w:kern w:val="0"/>
          <w:sz w:val="19"/>
          <w:szCs w:val="19"/>
          <w14:ligatures w14:val="none"/>
        </w:rPr>
      </w:pPr>
      <w:r w:rsidRPr="003B7D0D">
        <w:rPr>
          <w:rFonts w:ascii="inherit" w:eastAsia="Times New Roman" w:hAnsi="inherit" w:cs="Times New Roman"/>
          <w:color w:val="333333"/>
          <w:kern w:val="0"/>
          <w:sz w:val="19"/>
          <w:szCs w:val="19"/>
          <w14:ligatures w14:val="none"/>
        </w:rPr>
        <w:t>Title</w:t>
      </w:r>
    </w:p>
    <w:p w14:paraId="5CCF4A30" w14:textId="77777777" w:rsidR="003B7D0D" w:rsidRPr="003B7D0D" w:rsidRDefault="003B7D0D" w:rsidP="003B7D0D">
      <w:pPr>
        <w:shd w:val="clear" w:color="auto" w:fill="FFFFFF"/>
        <w:spacing w:after="0" w:line="240" w:lineRule="auto"/>
        <w:textAlignment w:val="top"/>
        <w:rPr>
          <w:rFonts w:ascii="inherit" w:eastAsia="Times New Roman" w:hAnsi="inherit" w:cs="Times New Roman"/>
          <w:color w:val="333333"/>
          <w:kern w:val="0"/>
          <w:sz w:val="19"/>
          <w:szCs w:val="19"/>
          <w14:ligatures w14:val="none"/>
        </w:rPr>
      </w:pPr>
      <w:r w:rsidRPr="003B7D0D">
        <w:rPr>
          <w:rFonts w:ascii="inherit" w:eastAsia="Times New Roman" w:hAnsi="inherit" w:cs="Times New Roman"/>
          <w:color w:val="333333"/>
          <w:kern w:val="0"/>
          <w:sz w:val="19"/>
          <w:szCs w:val="19"/>
          <w14:ligatures w14:val="none"/>
        </w:rPr>
        <w:t>NONDISCRIMINATION ON THE BASIS OF SEX IN EDUCATION PROGRAMS AND ACTIVITIES</w:t>
      </w:r>
    </w:p>
    <w:p w14:paraId="175DE94F" w14:textId="77777777" w:rsidR="003B7D0D" w:rsidRPr="003B7D0D" w:rsidRDefault="003B7D0D" w:rsidP="003B7D0D">
      <w:pPr>
        <w:shd w:val="clear" w:color="auto" w:fill="FFFFFF"/>
        <w:spacing w:after="0" w:line="240" w:lineRule="auto"/>
        <w:textAlignment w:val="top"/>
        <w:rPr>
          <w:rFonts w:ascii="inherit" w:eastAsia="Times New Roman" w:hAnsi="inherit" w:cs="Times New Roman"/>
          <w:color w:val="333333"/>
          <w:kern w:val="0"/>
          <w:sz w:val="19"/>
          <w:szCs w:val="19"/>
          <w14:ligatures w14:val="none"/>
        </w:rPr>
      </w:pPr>
      <w:r w:rsidRPr="003B7D0D">
        <w:rPr>
          <w:rFonts w:ascii="inherit" w:eastAsia="Times New Roman" w:hAnsi="inherit" w:cs="Times New Roman"/>
          <w:color w:val="333333"/>
          <w:kern w:val="0"/>
          <w:sz w:val="19"/>
          <w:szCs w:val="19"/>
          <w14:ligatures w14:val="none"/>
        </w:rPr>
        <w:t>Code</w:t>
      </w:r>
    </w:p>
    <w:p w14:paraId="08CC3553" w14:textId="77777777" w:rsidR="003B7D0D" w:rsidRPr="003B7D0D" w:rsidRDefault="003B7D0D" w:rsidP="003B7D0D">
      <w:pPr>
        <w:shd w:val="clear" w:color="auto" w:fill="FFFFFF"/>
        <w:spacing w:after="0" w:line="240" w:lineRule="auto"/>
        <w:textAlignment w:val="top"/>
        <w:rPr>
          <w:rFonts w:ascii="inherit" w:eastAsia="Times New Roman" w:hAnsi="inherit" w:cs="Times New Roman"/>
          <w:color w:val="333333"/>
          <w:kern w:val="0"/>
          <w:sz w:val="19"/>
          <w:szCs w:val="19"/>
          <w14:ligatures w14:val="none"/>
        </w:rPr>
      </w:pPr>
      <w:r w:rsidRPr="003B7D0D">
        <w:rPr>
          <w:rFonts w:ascii="inherit" w:eastAsia="Times New Roman" w:hAnsi="inherit" w:cs="Times New Roman"/>
          <w:color w:val="333333"/>
          <w:kern w:val="0"/>
          <w:sz w:val="19"/>
          <w:szCs w:val="19"/>
          <w14:ligatures w14:val="none"/>
        </w:rPr>
        <w:t>po2266</w:t>
      </w:r>
    </w:p>
    <w:p w14:paraId="1D26586B" w14:textId="77777777" w:rsidR="003B7D0D" w:rsidRPr="003B7D0D" w:rsidRDefault="003B7D0D" w:rsidP="003B7D0D">
      <w:pPr>
        <w:shd w:val="clear" w:color="auto" w:fill="FFFFFF"/>
        <w:spacing w:after="0" w:line="240" w:lineRule="auto"/>
        <w:textAlignment w:val="top"/>
        <w:rPr>
          <w:rFonts w:ascii="inherit" w:eastAsia="Times New Roman" w:hAnsi="inherit" w:cs="Times New Roman"/>
          <w:color w:val="333333"/>
          <w:kern w:val="0"/>
          <w:sz w:val="19"/>
          <w:szCs w:val="19"/>
          <w14:ligatures w14:val="none"/>
        </w:rPr>
      </w:pPr>
      <w:r w:rsidRPr="003B7D0D">
        <w:rPr>
          <w:rFonts w:ascii="inherit" w:eastAsia="Times New Roman" w:hAnsi="inherit" w:cs="Times New Roman"/>
          <w:color w:val="333333"/>
          <w:kern w:val="0"/>
          <w:sz w:val="19"/>
          <w:szCs w:val="19"/>
          <w14:ligatures w14:val="none"/>
        </w:rPr>
        <w:t>Status</w:t>
      </w:r>
    </w:p>
    <w:p w14:paraId="631ABB3D" w14:textId="77777777" w:rsidR="003B7D0D" w:rsidRPr="003B7D0D" w:rsidRDefault="003B7D0D" w:rsidP="003B7D0D">
      <w:pPr>
        <w:shd w:val="clear" w:color="auto" w:fill="FFFFFF"/>
        <w:spacing w:after="0" w:line="240" w:lineRule="auto"/>
        <w:textAlignment w:val="top"/>
        <w:rPr>
          <w:rFonts w:ascii="inherit" w:eastAsia="Times New Roman" w:hAnsi="inherit" w:cs="Times New Roman"/>
          <w:color w:val="333333"/>
          <w:kern w:val="0"/>
          <w:sz w:val="19"/>
          <w:szCs w:val="19"/>
          <w14:ligatures w14:val="none"/>
        </w:rPr>
      </w:pPr>
      <w:r w:rsidRPr="003B7D0D">
        <w:rPr>
          <w:rFonts w:ascii="inherit" w:eastAsia="Times New Roman" w:hAnsi="inherit" w:cs="Times New Roman"/>
          <w:color w:val="333333"/>
          <w:kern w:val="0"/>
          <w:sz w:val="19"/>
          <w:szCs w:val="19"/>
          <w14:ligatures w14:val="none"/>
        </w:rPr>
        <w:t>Active</w:t>
      </w:r>
    </w:p>
    <w:p w14:paraId="138E001C" w14:textId="77777777" w:rsidR="003B7D0D" w:rsidRPr="003B7D0D" w:rsidRDefault="003B7D0D" w:rsidP="003B7D0D">
      <w:pPr>
        <w:shd w:val="clear" w:color="auto" w:fill="FFFFFF"/>
        <w:spacing w:after="0" w:line="240" w:lineRule="auto"/>
        <w:textAlignment w:val="top"/>
        <w:rPr>
          <w:rFonts w:ascii="inherit" w:eastAsia="Times New Roman" w:hAnsi="inherit" w:cs="Times New Roman"/>
          <w:color w:val="333333"/>
          <w:kern w:val="0"/>
          <w:sz w:val="19"/>
          <w:szCs w:val="19"/>
          <w14:ligatures w14:val="none"/>
        </w:rPr>
      </w:pPr>
      <w:r w:rsidRPr="003B7D0D">
        <w:rPr>
          <w:rFonts w:ascii="inherit" w:eastAsia="Times New Roman" w:hAnsi="inherit" w:cs="Times New Roman"/>
          <w:color w:val="333333"/>
          <w:kern w:val="0"/>
          <w:sz w:val="19"/>
          <w:szCs w:val="19"/>
          <w14:ligatures w14:val="none"/>
        </w:rPr>
        <w:t>Adopted</w:t>
      </w:r>
    </w:p>
    <w:p w14:paraId="49A6E9B2" w14:textId="77777777" w:rsidR="003B7D0D" w:rsidRPr="003B7D0D" w:rsidRDefault="003B7D0D" w:rsidP="003B7D0D">
      <w:pPr>
        <w:shd w:val="clear" w:color="auto" w:fill="FFFFFF"/>
        <w:spacing w:after="0" w:line="240" w:lineRule="auto"/>
        <w:textAlignment w:val="top"/>
        <w:rPr>
          <w:rFonts w:ascii="inherit" w:eastAsia="Times New Roman" w:hAnsi="inherit" w:cs="Times New Roman"/>
          <w:color w:val="333333"/>
          <w:kern w:val="0"/>
          <w:sz w:val="19"/>
          <w:szCs w:val="19"/>
          <w14:ligatures w14:val="none"/>
        </w:rPr>
      </w:pPr>
      <w:r w:rsidRPr="003B7D0D">
        <w:rPr>
          <w:rFonts w:ascii="inherit" w:eastAsia="Times New Roman" w:hAnsi="inherit" w:cs="Times New Roman"/>
          <w:color w:val="333333"/>
          <w:kern w:val="0"/>
          <w:sz w:val="19"/>
          <w:szCs w:val="19"/>
          <w14:ligatures w14:val="none"/>
        </w:rPr>
        <w:t>October 13, 2020</w:t>
      </w:r>
    </w:p>
    <w:p w14:paraId="23601BFF" w14:textId="77777777" w:rsidR="003B7D0D" w:rsidRPr="003B7D0D" w:rsidRDefault="003B7D0D" w:rsidP="003B7D0D">
      <w:pPr>
        <w:shd w:val="clear" w:color="auto" w:fill="FFFFFF"/>
        <w:spacing w:after="0" w:line="240" w:lineRule="auto"/>
        <w:textAlignment w:val="top"/>
        <w:rPr>
          <w:rFonts w:ascii="inherit" w:eastAsia="Times New Roman" w:hAnsi="inherit" w:cs="Times New Roman"/>
          <w:color w:val="333333"/>
          <w:kern w:val="0"/>
          <w:sz w:val="19"/>
          <w:szCs w:val="19"/>
          <w14:ligatures w14:val="none"/>
        </w:rPr>
      </w:pPr>
      <w:r w:rsidRPr="003B7D0D">
        <w:rPr>
          <w:rFonts w:ascii="inherit" w:eastAsia="Times New Roman" w:hAnsi="inherit" w:cs="Times New Roman"/>
          <w:color w:val="333333"/>
          <w:kern w:val="0"/>
          <w:sz w:val="19"/>
          <w:szCs w:val="19"/>
          <w14:ligatures w14:val="none"/>
        </w:rPr>
        <w:t>Last Revised</w:t>
      </w:r>
    </w:p>
    <w:p w14:paraId="391EC04E" w14:textId="77777777" w:rsidR="003B7D0D" w:rsidRPr="003B7D0D" w:rsidRDefault="003B7D0D" w:rsidP="003B7D0D">
      <w:pPr>
        <w:shd w:val="clear" w:color="auto" w:fill="FFFFFF"/>
        <w:spacing w:after="0" w:line="240" w:lineRule="auto"/>
        <w:textAlignment w:val="top"/>
        <w:rPr>
          <w:rFonts w:ascii="inherit" w:eastAsia="Times New Roman" w:hAnsi="inherit" w:cs="Times New Roman"/>
          <w:color w:val="333333"/>
          <w:kern w:val="0"/>
          <w:sz w:val="19"/>
          <w:szCs w:val="19"/>
          <w14:ligatures w14:val="none"/>
        </w:rPr>
      </w:pPr>
      <w:r w:rsidRPr="003B7D0D">
        <w:rPr>
          <w:rFonts w:ascii="inherit" w:eastAsia="Times New Roman" w:hAnsi="inherit" w:cs="Times New Roman"/>
          <w:color w:val="333333"/>
          <w:kern w:val="0"/>
          <w:sz w:val="19"/>
          <w:szCs w:val="19"/>
          <w14:ligatures w14:val="none"/>
        </w:rPr>
        <w:t>December 12, 2023</w:t>
      </w:r>
    </w:p>
    <w:p w14:paraId="6BC452CA" w14:textId="77777777" w:rsidR="003B7D0D" w:rsidRPr="003B7D0D" w:rsidRDefault="003B7D0D" w:rsidP="003B7D0D">
      <w:pPr>
        <w:spacing w:after="0" w:line="240" w:lineRule="auto"/>
        <w:rPr>
          <w:rFonts w:eastAsia="Times New Roman" w:cs="Times New Roman"/>
          <w:kern w:val="0"/>
          <w14:ligatures w14:val="none"/>
        </w:rPr>
      </w:pPr>
      <w:r w:rsidRPr="003B7D0D">
        <w:rPr>
          <w:rFonts w:ascii="Verdana" w:eastAsia="Times New Roman" w:hAnsi="Verdana" w:cs="Times New Roman"/>
          <w:color w:val="333333"/>
          <w:kern w:val="0"/>
          <w:sz w:val="17"/>
          <w:szCs w:val="17"/>
          <w14:ligatures w14:val="none"/>
        </w:rPr>
        <w:br/>
      </w:r>
      <w:r w:rsidRPr="003B7D0D">
        <w:rPr>
          <w:rFonts w:ascii="Verdana" w:eastAsia="Times New Roman" w:hAnsi="Verdana" w:cs="Times New Roman"/>
          <w:color w:val="333333"/>
          <w:kern w:val="0"/>
          <w:sz w:val="17"/>
          <w:szCs w:val="17"/>
          <w14:ligatures w14:val="none"/>
        </w:rPr>
        <w:br/>
      </w:r>
    </w:p>
    <w:p w14:paraId="65A90325"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2266 – </w:t>
      </w:r>
      <w:r w:rsidRPr="003B7D0D">
        <w:rPr>
          <w:rFonts w:ascii="inherit" w:eastAsia="Times New Roman" w:hAnsi="inherit" w:cs="Times New Roman"/>
          <w:b/>
          <w:bCs/>
          <w:color w:val="333333"/>
          <w:kern w:val="0"/>
          <w:sz w:val="17"/>
          <w:szCs w:val="17"/>
          <w:bdr w:val="none" w:sz="0" w:space="0" w:color="auto" w:frame="1"/>
          <w14:ligatures w14:val="none"/>
        </w:rPr>
        <w:t>NONDISCRIMINATION ON THE BASIS OF SEX IN EDUCATION PROGRAMS AND ACTIVITIES</w:t>
      </w:r>
    </w:p>
    <w:p w14:paraId="1FEA94B6"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0557BDAC"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inherit" w:eastAsia="Times New Roman" w:hAnsi="inherit" w:cs="Times New Roman"/>
          <w:b/>
          <w:bCs/>
          <w:color w:val="333333"/>
          <w:kern w:val="0"/>
          <w:sz w:val="17"/>
          <w:szCs w:val="17"/>
          <w:bdr w:val="none" w:sz="0" w:space="0" w:color="auto" w:frame="1"/>
          <w14:ligatures w14:val="none"/>
        </w:rPr>
        <w:t>Introduction</w:t>
      </w:r>
    </w:p>
    <w:p w14:paraId="121421C4"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29600B1C"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The School Board does not discriminate on the basis of sex (including sexual orientation or gender identity), in its education programs or activities, and is required by Title IX of the Education Amendments Act of 1972, and its implementing regulations, not to discriminate in such a manner. The requirement not to discriminate in its education program or activity extends to admission and employment. The Board is committed to maintaining an education and work environment that is free from discrimination based on sex, including sexual harassment.</w:t>
      </w:r>
    </w:p>
    <w:p w14:paraId="6496FFC5"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0FDF172A"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The Board prohibits Sexual Harassment that occurs within its education programs and activities. When the District has actual knowledge of Sexual Harassment in its education program or activity against a person in the United States, it shall promptly respond in a manner that is not deliberately indifferent.</w:t>
      </w:r>
    </w:p>
    <w:p w14:paraId="7C885DA0"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167CCC3F"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 xml:space="preserve">Pursuant to its Title IX obligations, the Board is committed to eliminating Sexual Harassment and will take appropriate action when an individual is determined responsible for violating this policy. Board employees, students, third-party vendors and contractors, guests, and other members of the School District community who commit Sexual Harassment are subject to the full range of disciplinary sanctions set forth in this policy. The Board will provide persons who have experienced Sexual Harassment ongoing remedies as reasonably necessary to restore or preserve access to the </w:t>
      </w:r>
      <w:proofErr w:type="gramStart"/>
      <w:r w:rsidRPr="003B7D0D">
        <w:rPr>
          <w:rFonts w:ascii="Verdana" w:eastAsia="Times New Roman" w:hAnsi="Verdana" w:cs="Times New Roman"/>
          <w:color w:val="333333"/>
          <w:kern w:val="0"/>
          <w:sz w:val="17"/>
          <w:szCs w:val="17"/>
          <w:bdr w:val="none" w:sz="0" w:space="0" w:color="auto" w:frame="1"/>
          <w14:ligatures w14:val="none"/>
        </w:rPr>
        <w:t>District’s</w:t>
      </w:r>
      <w:proofErr w:type="gramEnd"/>
      <w:r w:rsidRPr="003B7D0D">
        <w:rPr>
          <w:rFonts w:ascii="Verdana" w:eastAsia="Times New Roman" w:hAnsi="Verdana" w:cs="Times New Roman"/>
          <w:color w:val="333333"/>
          <w:kern w:val="0"/>
          <w:sz w:val="17"/>
          <w:szCs w:val="17"/>
          <w:bdr w:val="none" w:sz="0" w:space="0" w:color="auto" w:frame="1"/>
          <w14:ligatures w14:val="none"/>
        </w:rPr>
        <w:t xml:space="preserve"> education programs and activities.</w:t>
      </w:r>
    </w:p>
    <w:p w14:paraId="4CB44FF2"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3C6BE68F"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inherit" w:eastAsia="Times New Roman" w:hAnsi="inherit" w:cs="Times New Roman"/>
          <w:b/>
          <w:bCs/>
          <w:color w:val="333333"/>
          <w:kern w:val="0"/>
          <w:sz w:val="17"/>
          <w:szCs w:val="17"/>
          <w:bdr w:val="none" w:sz="0" w:space="0" w:color="auto" w:frame="1"/>
          <w14:ligatures w14:val="none"/>
        </w:rPr>
        <w:t>Coverage</w:t>
      </w:r>
    </w:p>
    <w:p w14:paraId="1278C828"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3EA34F98"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 xml:space="preserve">This policy applies to Sexual Harassment that occurs within the </w:t>
      </w:r>
      <w:proofErr w:type="gramStart"/>
      <w:r w:rsidRPr="003B7D0D">
        <w:rPr>
          <w:rFonts w:ascii="Verdana" w:eastAsia="Times New Roman" w:hAnsi="Verdana" w:cs="Times New Roman"/>
          <w:color w:val="333333"/>
          <w:kern w:val="0"/>
          <w:sz w:val="17"/>
          <w:szCs w:val="17"/>
          <w:bdr w:val="none" w:sz="0" w:space="0" w:color="auto" w:frame="1"/>
          <w14:ligatures w14:val="none"/>
        </w:rPr>
        <w:t>District’s</w:t>
      </w:r>
      <w:proofErr w:type="gramEnd"/>
      <w:r w:rsidRPr="003B7D0D">
        <w:rPr>
          <w:rFonts w:ascii="Verdana" w:eastAsia="Times New Roman" w:hAnsi="Verdana" w:cs="Times New Roman"/>
          <w:color w:val="333333"/>
          <w:kern w:val="0"/>
          <w:sz w:val="17"/>
          <w:szCs w:val="17"/>
          <w:bdr w:val="none" w:sz="0" w:space="0" w:color="auto" w:frame="1"/>
          <w14:ligatures w14:val="none"/>
        </w:rPr>
        <w:t xml:space="preserve"> education programs and activities and that is committed by a member of the School District community or a Third Party.</w:t>
      </w:r>
    </w:p>
    <w:p w14:paraId="1A314261"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6ECC33A4"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This policy does not apply to Sexual Harassment that occurs: (1) off school grounds, (2) in a private setting, and (3) outside the scope of the District’s education programs and activities; such Sexual Misconduct/Sexual Activity may be prohibited by the Student Code of Conduct if committed by a student, or by Board policies and administrative procedures, applicable State and/or Federal laws and/or Employee/Administrator Handbook(s) if committed by a Board employee.</w:t>
      </w:r>
    </w:p>
    <w:p w14:paraId="2AE60175"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54D2A81D"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 xml:space="preserve">Consistent with the U.S. Department of Education’s implementing regulations for Title IX, this policy does not apply to Sexual Harassment that occurs outside the geographic boundaries of the United States, even if the Sexual Harassment occurs in the </w:t>
      </w:r>
      <w:proofErr w:type="gramStart"/>
      <w:r w:rsidRPr="003B7D0D">
        <w:rPr>
          <w:rFonts w:ascii="Verdana" w:eastAsia="Times New Roman" w:hAnsi="Verdana" w:cs="Times New Roman"/>
          <w:color w:val="333333"/>
          <w:kern w:val="0"/>
          <w:sz w:val="17"/>
          <w:szCs w:val="17"/>
          <w:bdr w:val="none" w:sz="0" w:space="0" w:color="auto" w:frame="1"/>
          <w14:ligatures w14:val="none"/>
        </w:rPr>
        <w:t>District’s</w:t>
      </w:r>
      <w:proofErr w:type="gramEnd"/>
      <w:r w:rsidRPr="003B7D0D">
        <w:rPr>
          <w:rFonts w:ascii="Verdana" w:eastAsia="Times New Roman" w:hAnsi="Verdana" w:cs="Times New Roman"/>
          <w:color w:val="333333"/>
          <w:kern w:val="0"/>
          <w:sz w:val="17"/>
          <w:szCs w:val="17"/>
          <w:bdr w:val="none" w:sz="0" w:space="0" w:color="auto" w:frame="1"/>
          <w14:ligatures w14:val="none"/>
        </w:rPr>
        <w:t xml:space="preserve"> education programs or activities. Sexual Harassment that occurs outside the geographic boundaries of the United States is governed by the Student Code of Conduct if committed by a student, or by Board policies and administrative procedures, applicable State and/or Federal laws and/or Employee/Administrator Handbook(s) if committed by a Board employee.</w:t>
      </w:r>
    </w:p>
    <w:p w14:paraId="30884CBC"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77F486DC"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inherit" w:eastAsia="Times New Roman" w:hAnsi="inherit" w:cs="Times New Roman"/>
          <w:b/>
          <w:bCs/>
          <w:color w:val="333333"/>
          <w:kern w:val="0"/>
          <w:sz w:val="17"/>
          <w:szCs w:val="17"/>
          <w:bdr w:val="none" w:sz="0" w:space="0" w:color="auto" w:frame="1"/>
          <w14:ligatures w14:val="none"/>
        </w:rPr>
        <w:t>Definitions</w:t>
      </w:r>
    </w:p>
    <w:p w14:paraId="7AE69975"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7B9A214D"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Words used in this policy shall have those meanings defined herein; words not defined herein shall be construed according to their plain and ordinary meanings.</w:t>
      </w:r>
    </w:p>
    <w:p w14:paraId="62FC744B"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lastRenderedPageBreak/>
        <w:t> </w:t>
      </w:r>
    </w:p>
    <w:p w14:paraId="0A063BB0"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inherit" w:eastAsia="Times New Roman" w:hAnsi="inherit" w:cs="Times New Roman"/>
          <w:b/>
          <w:bCs/>
          <w:color w:val="333333"/>
          <w:kern w:val="0"/>
          <w:sz w:val="17"/>
          <w:szCs w:val="17"/>
          <w:bdr w:val="none" w:sz="0" w:space="0" w:color="auto" w:frame="1"/>
          <w14:ligatures w14:val="none"/>
        </w:rPr>
        <w:t>Sexual Harassment: </w:t>
      </w:r>
      <w:r w:rsidRPr="003B7D0D">
        <w:rPr>
          <w:rFonts w:ascii="Verdana" w:eastAsia="Times New Roman" w:hAnsi="Verdana" w:cs="Times New Roman"/>
          <w:color w:val="333333"/>
          <w:kern w:val="0"/>
          <w:sz w:val="17"/>
          <w:szCs w:val="17"/>
          <w:bdr w:val="none" w:sz="0" w:space="0" w:color="auto" w:frame="1"/>
          <w14:ligatures w14:val="none"/>
        </w:rPr>
        <w:t>“Sexual Harassment” means conduct on the basis of sex that satisfies one or more of the following:</w:t>
      </w:r>
      <w:r w:rsidRPr="003B7D0D">
        <w:rPr>
          <w:rFonts w:ascii="Verdana" w:eastAsia="Times New Roman" w:hAnsi="Verdana" w:cs="Times New Roman"/>
          <w:color w:val="333333"/>
          <w:kern w:val="0"/>
          <w:sz w:val="17"/>
          <w:szCs w:val="17"/>
          <w14:ligatures w14:val="none"/>
        </w:rPr>
        <w:br/>
        <w:t> </w:t>
      </w:r>
    </w:p>
    <w:p w14:paraId="2C2C8BA2" w14:textId="77777777" w:rsidR="003B7D0D" w:rsidRPr="003B7D0D" w:rsidRDefault="003B7D0D" w:rsidP="003B7D0D">
      <w:pPr>
        <w:numPr>
          <w:ilvl w:val="0"/>
          <w:numId w:val="12"/>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 xml:space="preserve">A Board employee conditioning the provision of an aid, benefit, or service of the </w:t>
      </w:r>
      <w:proofErr w:type="gramStart"/>
      <w:r w:rsidRPr="003B7D0D">
        <w:rPr>
          <w:rFonts w:ascii="Verdana" w:eastAsia="Times New Roman" w:hAnsi="Verdana" w:cs="Times New Roman"/>
          <w:color w:val="333333"/>
          <w:kern w:val="0"/>
          <w:sz w:val="17"/>
          <w:szCs w:val="17"/>
          <w:bdr w:val="none" w:sz="0" w:space="0" w:color="auto" w:frame="1"/>
          <w14:ligatures w14:val="none"/>
        </w:rPr>
        <w:t>District</w:t>
      </w:r>
      <w:proofErr w:type="gramEnd"/>
      <w:r w:rsidRPr="003B7D0D">
        <w:rPr>
          <w:rFonts w:ascii="Verdana" w:eastAsia="Times New Roman" w:hAnsi="Verdana" w:cs="Times New Roman"/>
          <w:color w:val="333333"/>
          <w:kern w:val="0"/>
          <w:sz w:val="17"/>
          <w:szCs w:val="17"/>
          <w:bdr w:val="none" w:sz="0" w:space="0" w:color="auto" w:frame="1"/>
          <w14:ligatures w14:val="none"/>
        </w:rPr>
        <w:t xml:space="preserve"> on an individual’s participation in unwelcome sexual conduct (often called “</w:t>
      </w:r>
      <w:r w:rsidRPr="003B7D0D">
        <w:rPr>
          <w:rFonts w:ascii="inherit" w:eastAsia="Times New Roman" w:hAnsi="inherit" w:cs="Times New Roman"/>
          <w:i/>
          <w:iCs/>
          <w:color w:val="333333"/>
          <w:kern w:val="0"/>
          <w:sz w:val="17"/>
          <w:szCs w:val="17"/>
          <w:bdr w:val="none" w:sz="0" w:space="0" w:color="auto" w:frame="1"/>
          <w14:ligatures w14:val="none"/>
        </w:rPr>
        <w:t>quid pro quo</w:t>
      </w:r>
      <w:r w:rsidRPr="003B7D0D">
        <w:rPr>
          <w:rFonts w:ascii="Verdana" w:eastAsia="Times New Roman" w:hAnsi="Verdana" w:cs="Times New Roman"/>
          <w:color w:val="333333"/>
          <w:kern w:val="0"/>
          <w:sz w:val="17"/>
          <w:szCs w:val="17"/>
          <w:bdr w:val="none" w:sz="0" w:space="0" w:color="auto" w:frame="1"/>
          <w14:ligatures w14:val="none"/>
        </w:rPr>
        <w:t>” harassment);</w:t>
      </w:r>
      <w:r w:rsidRPr="003B7D0D">
        <w:rPr>
          <w:rFonts w:ascii="Verdana" w:eastAsia="Times New Roman" w:hAnsi="Verdana" w:cs="Times New Roman"/>
          <w:color w:val="333333"/>
          <w:kern w:val="0"/>
          <w:sz w:val="17"/>
          <w:szCs w:val="17"/>
          <w14:ligatures w14:val="none"/>
        </w:rPr>
        <w:br/>
        <w:t> </w:t>
      </w:r>
    </w:p>
    <w:p w14:paraId="43F57E46" w14:textId="77777777" w:rsidR="003B7D0D" w:rsidRPr="003B7D0D" w:rsidRDefault="003B7D0D" w:rsidP="003B7D0D">
      <w:pPr>
        <w:numPr>
          <w:ilvl w:val="0"/>
          <w:numId w:val="12"/>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Unwelcome conduct determined by a reasonable person to be so severe, pervasive, </w:t>
      </w:r>
      <w:r w:rsidRPr="003B7D0D">
        <w:rPr>
          <w:rFonts w:ascii="inherit" w:eastAsia="Times New Roman" w:hAnsi="inherit" w:cs="Times New Roman"/>
          <w:b/>
          <w:bCs/>
          <w:i/>
          <w:iCs/>
          <w:color w:val="333333"/>
          <w:kern w:val="0"/>
          <w:sz w:val="17"/>
          <w:szCs w:val="17"/>
          <w:bdr w:val="none" w:sz="0" w:space="0" w:color="auto" w:frame="1"/>
          <w14:ligatures w14:val="none"/>
        </w:rPr>
        <w:t>and</w:t>
      </w:r>
      <w:r w:rsidRPr="003B7D0D">
        <w:rPr>
          <w:rFonts w:ascii="Verdana" w:eastAsia="Times New Roman" w:hAnsi="Verdana" w:cs="Times New Roman"/>
          <w:color w:val="333333"/>
          <w:kern w:val="0"/>
          <w:sz w:val="17"/>
          <w:szCs w:val="17"/>
          <w:bdr w:val="none" w:sz="0" w:space="0" w:color="auto" w:frame="1"/>
          <w14:ligatures w14:val="none"/>
        </w:rPr>
        <w:t xml:space="preserve"> objectively offensive that it effectively denies a person equal access to the </w:t>
      </w:r>
      <w:proofErr w:type="gramStart"/>
      <w:r w:rsidRPr="003B7D0D">
        <w:rPr>
          <w:rFonts w:ascii="Verdana" w:eastAsia="Times New Roman" w:hAnsi="Verdana" w:cs="Times New Roman"/>
          <w:color w:val="333333"/>
          <w:kern w:val="0"/>
          <w:sz w:val="17"/>
          <w:szCs w:val="17"/>
          <w:bdr w:val="none" w:sz="0" w:space="0" w:color="auto" w:frame="1"/>
          <w14:ligatures w14:val="none"/>
        </w:rPr>
        <w:t>District’s</w:t>
      </w:r>
      <w:proofErr w:type="gramEnd"/>
      <w:r w:rsidRPr="003B7D0D">
        <w:rPr>
          <w:rFonts w:ascii="Verdana" w:eastAsia="Times New Roman" w:hAnsi="Verdana" w:cs="Times New Roman"/>
          <w:color w:val="333333"/>
          <w:kern w:val="0"/>
          <w:sz w:val="17"/>
          <w:szCs w:val="17"/>
          <w:bdr w:val="none" w:sz="0" w:space="0" w:color="auto" w:frame="1"/>
          <w14:ligatures w14:val="none"/>
        </w:rPr>
        <w:t xml:space="preserve"> education program or activity; or</w:t>
      </w:r>
      <w:r w:rsidRPr="003B7D0D">
        <w:rPr>
          <w:rFonts w:ascii="Verdana" w:eastAsia="Times New Roman" w:hAnsi="Verdana" w:cs="Times New Roman"/>
          <w:color w:val="333333"/>
          <w:kern w:val="0"/>
          <w:sz w:val="17"/>
          <w:szCs w:val="17"/>
          <w14:ligatures w14:val="none"/>
        </w:rPr>
        <w:br/>
        <w:t> </w:t>
      </w:r>
    </w:p>
    <w:p w14:paraId="3BFA14A7" w14:textId="77777777" w:rsidR="003B7D0D" w:rsidRPr="003B7D0D" w:rsidRDefault="003B7D0D" w:rsidP="003B7D0D">
      <w:pPr>
        <w:numPr>
          <w:ilvl w:val="0"/>
          <w:numId w:val="12"/>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“Sexual assault” as defined in 20 U.S.C. 1092(f)(6)A(v), or “dating violence” as defined in 34 U.S.C. 12291(a)(10), “domestic violence” as defined in 34 U.S.C. 12291(a)(8), or “stalking” as defined in 34 U.S.C. 12291(a)(30).</w:t>
      </w:r>
      <w:r w:rsidRPr="003B7D0D">
        <w:rPr>
          <w:rFonts w:ascii="Verdana" w:eastAsia="Times New Roman" w:hAnsi="Verdana" w:cs="Times New Roman"/>
          <w:color w:val="333333"/>
          <w:kern w:val="0"/>
          <w:sz w:val="17"/>
          <w:szCs w:val="17"/>
          <w:bdr w:val="none" w:sz="0" w:space="0" w:color="auto" w:frame="1"/>
          <w14:ligatures w14:val="none"/>
        </w:rPr>
        <w:br/>
      </w:r>
      <w:r w:rsidRPr="003B7D0D">
        <w:rPr>
          <w:rFonts w:ascii="Verdana" w:eastAsia="Times New Roman" w:hAnsi="Verdana" w:cs="Times New Roman"/>
          <w:color w:val="333333"/>
          <w:kern w:val="0"/>
          <w:sz w:val="17"/>
          <w:szCs w:val="17"/>
          <w:bdr w:val="none" w:sz="0" w:space="0" w:color="auto" w:frame="1"/>
          <w14:ligatures w14:val="none"/>
        </w:rPr>
        <w:br/>
        <w:t>“Sexual assault” means any sexual act directed against another person, without the consent of the victim, including instances where the victim is incapable of giving consent. Sexual assault includes rape, sodomy, sexual assault with an object, fondling, incest, and statutory rape.</w:t>
      </w:r>
      <w:r w:rsidRPr="003B7D0D">
        <w:rPr>
          <w:rFonts w:ascii="Verdana" w:eastAsia="Times New Roman" w:hAnsi="Verdana" w:cs="Times New Roman"/>
          <w:color w:val="333333"/>
          <w:kern w:val="0"/>
          <w:sz w:val="17"/>
          <w:szCs w:val="17"/>
          <w14:ligatures w14:val="none"/>
        </w:rPr>
        <w:br/>
        <w:t> </w:t>
      </w:r>
    </w:p>
    <w:p w14:paraId="03F7209D" w14:textId="77777777" w:rsidR="003B7D0D" w:rsidRPr="003B7D0D" w:rsidRDefault="003B7D0D" w:rsidP="003B7D0D">
      <w:pPr>
        <w:numPr>
          <w:ilvl w:val="1"/>
          <w:numId w:val="12"/>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3B7D0D">
        <w:rPr>
          <w:rFonts w:ascii="inherit" w:eastAsia="Times New Roman" w:hAnsi="inherit" w:cs="Times New Roman"/>
          <w:i/>
          <w:iCs/>
          <w:color w:val="333333"/>
          <w:kern w:val="0"/>
          <w:sz w:val="17"/>
          <w:szCs w:val="17"/>
          <w:bdr w:val="none" w:sz="0" w:space="0" w:color="auto" w:frame="1"/>
          <w14:ligatures w14:val="none"/>
        </w:rPr>
        <w:t>Rape</w:t>
      </w:r>
      <w:r w:rsidRPr="003B7D0D">
        <w:rPr>
          <w:rFonts w:ascii="Verdana" w:eastAsia="Times New Roman" w:hAnsi="Verdana" w:cs="Times New Roman"/>
          <w:color w:val="333333"/>
          <w:kern w:val="0"/>
          <w:sz w:val="17"/>
          <w:szCs w:val="17"/>
          <w:bdr w:val="none" w:sz="0" w:space="0" w:color="auto" w:frame="1"/>
          <w14:ligatures w14:val="none"/>
        </w:rPr>
        <w:t xml:space="preserve"> is the carnal knowledge of a person (i.e., penetration, no matter how slight, of the genital or anal opening of a person), without the consent of the </w:t>
      </w:r>
      <w:proofErr w:type="gramStart"/>
      <w:r w:rsidRPr="003B7D0D">
        <w:rPr>
          <w:rFonts w:ascii="Verdana" w:eastAsia="Times New Roman" w:hAnsi="Verdana" w:cs="Times New Roman"/>
          <w:color w:val="333333"/>
          <w:kern w:val="0"/>
          <w:sz w:val="17"/>
          <w:szCs w:val="17"/>
          <w:bdr w:val="none" w:sz="0" w:space="0" w:color="auto" w:frame="1"/>
          <w14:ligatures w14:val="none"/>
        </w:rPr>
        <w:t>victim,  including</w:t>
      </w:r>
      <w:proofErr w:type="gramEnd"/>
      <w:r w:rsidRPr="003B7D0D">
        <w:rPr>
          <w:rFonts w:ascii="Verdana" w:eastAsia="Times New Roman" w:hAnsi="Verdana" w:cs="Times New Roman"/>
          <w:color w:val="333333"/>
          <w:kern w:val="0"/>
          <w:sz w:val="17"/>
          <w:szCs w:val="17"/>
          <w:bdr w:val="none" w:sz="0" w:space="0" w:color="auto" w:frame="1"/>
          <w14:ligatures w14:val="none"/>
        </w:rPr>
        <w:t xml:space="preserve"> instances where the victim is incapable of giving consent because of age or because of temporary or permanent mental or physical incapacity. </w:t>
      </w:r>
      <w:r w:rsidRPr="003B7D0D">
        <w:rPr>
          <w:rFonts w:ascii="Verdana" w:eastAsia="Times New Roman" w:hAnsi="Verdana" w:cs="Times New Roman"/>
          <w:color w:val="333333"/>
          <w:kern w:val="0"/>
          <w:sz w:val="17"/>
          <w:szCs w:val="17"/>
          <w14:ligatures w14:val="none"/>
        </w:rPr>
        <w:br/>
        <w:t> </w:t>
      </w:r>
    </w:p>
    <w:p w14:paraId="3AAAE7A0" w14:textId="77777777" w:rsidR="003B7D0D" w:rsidRPr="003B7D0D" w:rsidRDefault="003B7D0D" w:rsidP="003B7D0D">
      <w:pPr>
        <w:numPr>
          <w:ilvl w:val="1"/>
          <w:numId w:val="12"/>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3B7D0D">
        <w:rPr>
          <w:rFonts w:ascii="inherit" w:eastAsia="Times New Roman" w:hAnsi="inherit" w:cs="Times New Roman"/>
          <w:i/>
          <w:iCs/>
          <w:color w:val="333333"/>
          <w:kern w:val="0"/>
          <w:sz w:val="17"/>
          <w:szCs w:val="17"/>
          <w:bdr w:val="none" w:sz="0" w:space="0" w:color="auto" w:frame="1"/>
          <w14:ligatures w14:val="none"/>
        </w:rPr>
        <w:t>Sodomy</w:t>
      </w:r>
      <w:r w:rsidRPr="003B7D0D">
        <w:rPr>
          <w:rFonts w:ascii="Verdana" w:eastAsia="Times New Roman" w:hAnsi="Verdana" w:cs="Times New Roman"/>
          <w:color w:val="333333"/>
          <w:kern w:val="0"/>
          <w:sz w:val="17"/>
          <w:szCs w:val="17"/>
          <w:bdr w:val="none" w:sz="0" w:space="0" w:color="auto" w:frame="1"/>
          <w14:ligatures w14:val="none"/>
        </w:rPr>
        <w:t> is oral or anal sexual intercourse with another person, without the consent of the victim, including instances where the victim is incapable of giving consent because of age or because of temporary or permanent mental or physical incapacity.</w:t>
      </w:r>
      <w:r w:rsidRPr="003B7D0D">
        <w:rPr>
          <w:rFonts w:ascii="Verdana" w:eastAsia="Times New Roman" w:hAnsi="Verdana" w:cs="Times New Roman"/>
          <w:color w:val="333333"/>
          <w:kern w:val="0"/>
          <w:sz w:val="17"/>
          <w:szCs w:val="17"/>
          <w14:ligatures w14:val="none"/>
        </w:rPr>
        <w:br/>
        <w:t> </w:t>
      </w:r>
    </w:p>
    <w:p w14:paraId="4984AEA1" w14:textId="77777777" w:rsidR="003B7D0D" w:rsidRPr="003B7D0D" w:rsidRDefault="003B7D0D" w:rsidP="003B7D0D">
      <w:pPr>
        <w:numPr>
          <w:ilvl w:val="1"/>
          <w:numId w:val="12"/>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3B7D0D">
        <w:rPr>
          <w:rFonts w:ascii="inherit" w:eastAsia="Times New Roman" w:hAnsi="inherit" w:cs="Times New Roman"/>
          <w:i/>
          <w:iCs/>
          <w:color w:val="333333"/>
          <w:kern w:val="0"/>
          <w:sz w:val="17"/>
          <w:szCs w:val="17"/>
          <w:bdr w:val="none" w:sz="0" w:space="0" w:color="auto" w:frame="1"/>
          <w14:ligatures w14:val="none"/>
        </w:rPr>
        <w:t>Sexual Assault with an Object</w:t>
      </w:r>
      <w:r w:rsidRPr="003B7D0D">
        <w:rPr>
          <w:rFonts w:ascii="Verdana" w:eastAsia="Times New Roman" w:hAnsi="Verdana" w:cs="Times New Roman"/>
          <w:color w:val="333333"/>
          <w:kern w:val="0"/>
          <w:sz w:val="17"/>
          <w:szCs w:val="17"/>
          <w:bdr w:val="none" w:sz="0" w:space="0" w:color="auto" w:frame="1"/>
          <w14:ligatures w14:val="none"/>
        </w:rPr>
        <w:t> is using an object or instrument to unlawfully penetrate, however slightly, the genital or anal opening of the body of another person, without the consent of the victim, including instances where the victim is incapable of giving consent because of age or because of temporary or permanent mental or physical incapacity. An “object” or “instrument” is anything used by the offender other than the offender’s genitalia.</w:t>
      </w:r>
      <w:r w:rsidRPr="003B7D0D">
        <w:rPr>
          <w:rFonts w:ascii="Verdana" w:eastAsia="Times New Roman" w:hAnsi="Verdana" w:cs="Times New Roman"/>
          <w:color w:val="333333"/>
          <w:kern w:val="0"/>
          <w:sz w:val="17"/>
          <w:szCs w:val="17"/>
          <w14:ligatures w14:val="none"/>
        </w:rPr>
        <w:br/>
        <w:t> </w:t>
      </w:r>
    </w:p>
    <w:p w14:paraId="022C3799" w14:textId="77777777" w:rsidR="003B7D0D" w:rsidRPr="003B7D0D" w:rsidRDefault="003B7D0D" w:rsidP="003B7D0D">
      <w:pPr>
        <w:numPr>
          <w:ilvl w:val="1"/>
          <w:numId w:val="12"/>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3B7D0D">
        <w:rPr>
          <w:rFonts w:ascii="inherit" w:eastAsia="Times New Roman" w:hAnsi="inherit" w:cs="Times New Roman"/>
          <w:i/>
          <w:iCs/>
          <w:color w:val="333333"/>
          <w:kern w:val="0"/>
          <w:sz w:val="17"/>
          <w:szCs w:val="17"/>
          <w:bdr w:val="none" w:sz="0" w:space="0" w:color="auto" w:frame="1"/>
          <w14:ligatures w14:val="none"/>
        </w:rPr>
        <w:t>Fondling </w:t>
      </w:r>
      <w:r w:rsidRPr="003B7D0D">
        <w:rPr>
          <w:rFonts w:ascii="Verdana" w:eastAsia="Times New Roman" w:hAnsi="Verdana" w:cs="Times New Roman"/>
          <w:color w:val="333333"/>
          <w:kern w:val="0"/>
          <w:sz w:val="17"/>
          <w:szCs w:val="17"/>
          <w:bdr w:val="none" w:sz="0" w:space="0" w:color="auto" w:frame="1"/>
          <w14:ligatures w14:val="none"/>
        </w:rPr>
        <w:t>is the touching of the private body parts of another person for the purpose of sexual gratification, without the consent of the victim, including instances where the victim is incapable of giving consent because of age or because of temporary or permanent mental or physical incapacity.</w:t>
      </w:r>
      <w:r w:rsidRPr="003B7D0D">
        <w:rPr>
          <w:rFonts w:ascii="Verdana" w:eastAsia="Times New Roman" w:hAnsi="Verdana" w:cs="Times New Roman"/>
          <w:color w:val="333333"/>
          <w:kern w:val="0"/>
          <w:sz w:val="17"/>
          <w:szCs w:val="17"/>
          <w14:ligatures w14:val="none"/>
        </w:rPr>
        <w:br/>
        <w:t> </w:t>
      </w:r>
    </w:p>
    <w:p w14:paraId="755DABA4" w14:textId="77777777" w:rsidR="003B7D0D" w:rsidRPr="003B7D0D" w:rsidRDefault="003B7D0D" w:rsidP="003B7D0D">
      <w:pPr>
        <w:numPr>
          <w:ilvl w:val="1"/>
          <w:numId w:val="12"/>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3B7D0D">
        <w:rPr>
          <w:rFonts w:ascii="inherit" w:eastAsia="Times New Roman" w:hAnsi="inherit" w:cs="Times New Roman"/>
          <w:i/>
          <w:iCs/>
          <w:color w:val="333333"/>
          <w:kern w:val="0"/>
          <w:sz w:val="17"/>
          <w:szCs w:val="17"/>
          <w:bdr w:val="none" w:sz="0" w:space="0" w:color="auto" w:frame="1"/>
          <w14:ligatures w14:val="none"/>
        </w:rPr>
        <w:t>Incest</w:t>
      </w:r>
      <w:r w:rsidRPr="003B7D0D">
        <w:rPr>
          <w:rFonts w:ascii="Verdana" w:eastAsia="Times New Roman" w:hAnsi="Verdana" w:cs="Times New Roman"/>
          <w:color w:val="333333"/>
          <w:kern w:val="0"/>
          <w:sz w:val="17"/>
          <w:szCs w:val="17"/>
          <w:bdr w:val="none" w:sz="0" w:space="0" w:color="auto" w:frame="1"/>
          <w14:ligatures w14:val="none"/>
        </w:rPr>
        <w:t> is sexual intercourse between persons who are related to each other within the degrees wherein marriage is prohibited by State law.</w:t>
      </w:r>
      <w:r w:rsidRPr="003B7D0D">
        <w:rPr>
          <w:rFonts w:ascii="Verdana" w:eastAsia="Times New Roman" w:hAnsi="Verdana" w:cs="Times New Roman"/>
          <w:color w:val="333333"/>
          <w:kern w:val="0"/>
          <w:sz w:val="17"/>
          <w:szCs w:val="17"/>
          <w14:ligatures w14:val="none"/>
        </w:rPr>
        <w:br/>
        <w:t> </w:t>
      </w:r>
    </w:p>
    <w:p w14:paraId="258EA23A" w14:textId="77777777" w:rsidR="003B7D0D" w:rsidRPr="003B7D0D" w:rsidRDefault="003B7D0D" w:rsidP="003B7D0D">
      <w:pPr>
        <w:numPr>
          <w:ilvl w:val="1"/>
          <w:numId w:val="12"/>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3B7D0D">
        <w:rPr>
          <w:rFonts w:ascii="inherit" w:eastAsia="Times New Roman" w:hAnsi="inherit" w:cs="Times New Roman"/>
          <w:i/>
          <w:iCs/>
          <w:color w:val="333333"/>
          <w:kern w:val="0"/>
          <w:sz w:val="17"/>
          <w:szCs w:val="17"/>
          <w:bdr w:val="none" w:sz="0" w:space="0" w:color="auto" w:frame="1"/>
          <w14:ligatures w14:val="none"/>
        </w:rPr>
        <w:t>Statutory Rape</w:t>
      </w:r>
      <w:r w:rsidRPr="003B7D0D">
        <w:rPr>
          <w:rFonts w:ascii="Verdana" w:eastAsia="Times New Roman" w:hAnsi="Verdana" w:cs="Times New Roman"/>
          <w:color w:val="333333"/>
          <w:kern w:val="0"/>
          <w:sz w:val="17"/>
          <w:szCs w:val="17"/>
          <w:bdr w:val="none" w:sz="0" w:space="0" w:color="auto" w:frame="1"/>
          <w14:ligatures w14:val="none"/>
        </w:rPr>
        <w:t> is sexual intercourse with a person who is under the statutory age of consent as defined by State law.</w:t>
      </w:r>
      <w:r w:rsidRPr="003B7D0D">
        <w:rPr>
          <w:rFonts w:ascii="Verdana" w:eastAsia="Times New Roman" w:hAnsi="Verdana" w:cs="Times New Roman"/>
          <w:color w:val="333333"/>
          <w:kern w:val="0"/>
          <w:sz w:val="17"/>
          <w:szCs w:val="17"/>
          <w14:ligatures w14:val="none"/>
        </w:rPr>
        <w:br/>
        <w:t> </w:t>
      </w:r>
    </w:p>
    <w:p w14:paraId="6BF247FC" w14:textId="77777777" w:rsidR="003B7D0D" w:rsidRPr="003B7D0D" w:rsidRDefault="003B7D0D" w:rsidP="003B7D0D">
      <w:pPr>
        <w:numPr>
          <w:ilvl w:val="1"/>
          <w:numId w:val="12"/>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3B7D0D">
        <w:rPr>
          <w:rFonts w:ascii="inherit" w:eastAsia="Times New Roman" w:hAnsi="inherit" w:cs="Times New Roman"/>
          <w:i/>
          <w:iCs/>
          <w:color w:val="333333"/>
          <w:kern w:val="0"/>
          <w:sz w:val="17"/>
          <w:szCs w:val="17"/>
          <w:bdr w:val="none" w:sz="0" w:space="0" w:color="auto" w:frame="1"/>
          <w14:ligatures w14:val="none"/>
        </w:rPr>
        <w:t>Consent</w:t>
      </w:r>
      <w:r w:rsidRPr="003B7D0D">
        <w:rPr>
          <w:rFonts w:ascii="inherit" w:eastAsia="Times New Roman" w:hAnsi="inherit" w:cs="Times New Roman"/>
          <w:b/>
          <w:bCs/>
          <w:color w:val="333333"/>
          <w:kern w:val="0"/>
          <w:sz w:val="17"/>
          <w:szCs w:val="17"/>
          <w:bdr w:val="none" w:sz="0" w:space="0" w:color="auto" w:frame="1"/>
          <w14:ligatures w14:val="none"/>
        </w:rPr>
        <w:t> </w:t>
      </w:r>
      <w:r w:rsidRPr="003B7D0D">
        <w:rPr>
          <w:rFonts w:ascii="Verdana" w:eastAsia="Times New Roman" w:hAnsi="Verdana" w:cs="Times New Roman"/>
          <w:color w:val="333333"/>
          <w:kern w:val="0"/>
          <w:sz w:val="17"/>
          <w:szCs w:val="17"/>
          <w:bdr w:val="none" w:sz="0" w:space="0" w:color="auto" w:frame="1"/>
          <w14:ligatures w14:val="none"/>
        </w:rPr>
        <w:t>refers to words or actions that a reasonable person would understand as agreement to engage in the sexual conduct at issue. A person may be incapable of giving consent because of age or because of temporary or permanent mental or physical incapacity. A person who is incapacitated is not capable of giving consent.</w:t>
      </w:r>
      <w:r w:rsidRPr="003B7D0D">
        <w:rPr>
          <w:rFonts w:ascii="Verdana" w:eastAsia="Times New Roman" w:hAnsi="Verdana" w:cs="Times New Roman"/>
          <w:color w:val="333333"/>
          <w:kern w:val="0"/>
          <w:sz w:val="17"/>
          <w:szCs w:val="17"/>
          <w14:ligatures w14:val="none"/>
        </w:rPr>
        <w:br/>
        <w:t> </w:t>
      </w:r>
    </w:p>
    <w:p w14:paraId="48C0823C" w14:textId="77777777" w:rsidR="003B7D0D" w:rsidRPr="003B7D0D" w:rsidRDefault="003B7D0D" w:rsidP="003B7D0D">
      <w:pPr>
        <w:numPr>
          <w:ilvl w:val="1"/>
          <w:numId w:val="12"/>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3B7D0D">
        <w:rPr>
          <w:rFonts w:ascii="inherit" w:eastAsia="Times New Roman" w:hAnsi="inherit" w:cs="Times New Roman"/>
          <w:i/>
          <w:iCs/>
          <w:color w:val="333333"/>
          <w:kern w:val="0"/>
          <w:sz w:val="17"/>
          <w:szCs w:val="17"/>
          <w:bdr w:val="none" w:sz="0" w:space="0" w:color="auto" w:frame="1"/>
          <w14:ligatures w14:val="none"/>
        </w:rPr>
        <w:t>Incapacitated</w:t>
      </w:r>
      <w:r w:rsidRPr="003B7D0D">
        <w:rPr>
          <w:rFonts w:ascii="Verdana" w:eastAsia="Times New Roman" w:hAnsi="Verdana" w:cs="Times New Roman"/>
          <w:color w:val="333333"/>
          <w:kern w:val="0"/>
          <w:sz w:val="17"/>
          <w:szCs w:val="17"/>
          <w:bdr w:val="none" w:sz="0" w:space="0" w:color="auto" w:frame="1"/>
          <w14:ligatures w14:val="none"/>
        </w:rPr>
        <w:t> refers to the state where a person does not understand and/or appreciate the nature or fact of sexual activity due to the effect of drugs or alcohol consumption, medical condition, disability, or due to a state of unconsciousness or sleep.</w:t>
      </w:r>
      <w:r w:rsidRPr="003B7D0D">
        <w:rPr>
          <w:rFonts w:ascii="Verdana" w:eastAsia="Times New Roman" w:hAnsi="Verdana" w:cs="Times New Roman"/>
          <w:color w:val="333333"/>
          <w:kern w:val="0"/>
          <w:sz w:val="17"/>
          <w:szCs w:val="17"/>
          <w14:ligatures w14:val="none"/>
        </w:rPr>
        <w:br/>
        <w:t> </w:t>
      </w:r>
    </w:p>
    <w:p w14:paraId="1C512306" w14:textId="77777777" w:rsidR="003B7D0D" w:rsidRPr="003B7D0D" w:rsidRDefault="003B7D0D" w:rsidP="003B7D0D">
      <w:pPr>
        <w:numPr>
          <w:ilvl w:val="0"/>
          <w:numId w:val="12"/>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“Domestic violence” includes felony or misdemeanor crimes of violence committed by:</w:t>
      </w:r>
      <w:r w:rsidRPr="003B7D0D">
        <w:rPr>
          <w:rFonts w:ascii="Verdana" w:eastAsia="Times New Roman" w:hAnsi="Verdana" w:cs="Times New Roman"/>
          <w:color w:val="333333"/>
          <w:kern w:val="0"/>
          <w:sz w:val="17"/>
          <w:szCs w:val="17"/>
          <w14:ligatures w14:val="none"/>
        </w:rPr>
        <w:br/>
        <w:t> </w:t>
      </w:r>
    </w:p>
    <w:p w14:paraId="6FB94DE1" w14:textId="77777777" w:rsidR="003B7D0D" w:rsidRPr="003B7D0D" w:rsidRDefault="003B7D0D" w:rsidP="003B7D0D">
      <w:pPr>
        <w:numPr>
          <w:ilvl w:val="1"/>
          <w:numId w:val="12"/>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a current or former spouse or intimate partner of the victim;</w:t>
      </w:r>
      <w:r w:rsidRPr="003B7D0D">
        <w:rPr>
          <w:rFonts w:ascii="Verdana" w:eastAsia="Times New Roman" w:hAnsi="Verdana" w:cs="Times New Roman"/>
          <w:color w:val="333333"/>
          <w:kern w:val="0"/>
          <w:sz w:val="17"/>
          <w:szCs w:val="17"/>
          <w14:ligatures w14:val="none"/>
        </w:rPr>
        <w:br/>
        <w:t> </w:t>
      </w:r>
    </w:p>
    <w:p w14:paraId="32EDB37D" w14:textId="77777777" w:rsidR="003B7D0D" w:rsidRPr="003B7D0D" w:rsidRDefault="003B7D0D" w:rsidP="003B7D0D">
      <w:pPr>
        <w:numPr>
          <w:ilvl w:val="1"/>
          <w:numId w:val="12"/>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a person with whom the victim shares a child in common;</w:t>
      </w:r>
      <w:r w:rsidRPr="003B7D0D">
        <w:rPr>
          <w:rFonts w:ascii="Verdana" w:eastAsia="Times New Roman" w:hAnsi="Verdana" w:cs="Times New Roman"/>
          <w:color w:val="333333"/>
          <w:kern w:val="0"/>
          <w:sz w:val="17"/>
          <w:szCs w:val="17"/>
          <w14:ligatures w14:val="none"/>
        </w:rPr>
        <w:br/>
        <w:t> </w:t>
      </w:r>
    </w:p>
    <w:p w14:paraId="640B9AE6" w14:textId="77777777" w:rsidR="003B7D0D" w:rsidRPr="003B7D0D" w:rsidRDefault="003B7D0D" w:rsidP="003B7D0D">
      <w:pPr>
        <w:numPr>
          <w:ilvl w:val="1"/>
          <w:numId w:val="12"/>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lastRenderedPageBreak/>
        <w:t>a person who is cohabitating with or has cohabitated with the victim as a spouse or intimate partner;</w:t>
      </w:r>
      <w:r w:rsidRPr="003B7D0D">
        <w:rPr>
          <w:rFonts w:ascii="Verdana" w:eastAsia="Times New Roman" w:hAnsi="Verdana" w:cs="Times New Roman"/>
          <w:color w:val="333333"/>
          <w:kern w:val="0"/>
          <w:sz w:val="17"/>
          <w:szCs w:val="17"/>
          <w14:ligatures w14:val="none"/>
        </w:rPr>
        <w:br/>
        <w:t> </w:t>
      </w:r>
    </w:p>
    <w:p w14:paraId="2C425740" w14:textId="77777777" w:rsidR="003B7D0D" w:rsidRPr="003B7D0D" w:rsidRDefault="003B7D0D" w:rsidP="003B7D0D">
      <w:pPr>
        <w:numPr>
          <w:ilvl w:val="1"/>
          <w:numId w:val="12"/>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a person similarly situated to a spouse of the victim under the domestic or family violence laws of the jurisdiction in which the crime occurred; or</w:t>
      </w:r>
      <w:r w:rsidRPr="003B7D0D">
        <w:rPr>
          <w:rFonts w:ascii="Verdana" w:eastAsia="Times New Roman" w:hAnsi="Verdana" w:cs="Times New Roman"/>
          <w:color w:val="333333"/>
          <w:kern w:val="0"/>
          <w:sz w:val="17"/>
          <w:szCs w:val="17"/>
          <w14:ligatures w14:val="none"/>
        </w:rPr>
        <w:br/>
        <w:t> </w:t>
      </w:r>
    </w:p>
    <w:p w14:paraId="081A0918" w14:textId="77777777" w:rsidR="003B7D0D" w:rsidRPr="003B7D0D" w:rsidRDefault="003B7D0D" w:rsidP="003B7D0D">
      <w:pPr>
        <w:numPr>
          <w:ilvl w:val="1"/>
          <w:numId w:val="12"/>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any other person against an adult or youth victim who is protected from that person’s acts under the domestic or family violence laws of the jurisdiction in which the crime occurred.</w:t>
      </w:r>
      <w:r w:rsidRPr="003B7D0D">
        <w:rPr>
          <w:rFonts w:ascii="Verdana" w:eastAsia="Times New Roman" w:hAnsi="Verdana" w:cs="Times New Roman"/>
          <w:color w:val="333333"/>
          <w:kern w:val="0"/>
          <w:sz w:val="17"/>
          <w:szCs w:val="17"/>
          <w14:ligatures w14:val="none"/>
        </w:rPr>
        <w:br/>
        <w:t> </w:t>
      </w:r>
    </w:p>
    <w:p w14:paraId="69DBA533" w14:textId="77777777" w:rsidR="003B7D0D" w:rsidRPr="003B7D0D" w:rsidRDefault="003B7D0D" w:rsidP="003B7D0D">
      <w:pPr>
        <w:numPr>
          <w:ilvl w:val="0"/>
          <w:numId w:val="12"/>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“Dating violence” means violence committed by a person who is or has been in a social relationship of a romantic or intimate nature with the victim. The existence of such a relationship shall be determined based on consideration of the length of the relationship, the type of relationship, and the frequency of interaction between the persons involved in the relationship.</w:t>
      </w:r>
      <w:r w:rsidRPr="003B7D0D">
        <w:rPr>
          <w:rFonts w:ascii="Verdana" w:eastAsia="Times New Roman" w:hAnsi="Verdana" w:cs="Times New Roman"/>
          <w:color w:val="333333"/>
          <w:kern w:val="0"/>
          <w:sz w:val="17"/>
          <w:szCs w:val="17"/>
          <w14:ligatures w14:val="none"/>
        </w:rPr>
        <w:br/>
        <w:t> </w:t>
      </w:r>
    </w:p>
    <w:p w14:paraId="2A5D7A4F" w14:textId="77777777" w:rsidR="003B7D0D" w:rsidRPr="003B7D0D" w:rsidRDefault="003B7D0D" w:rsidP="003B7D0D">
      <w:pPr>
        <w:numPr>
          <w:ilvl w:val="0"/>
          <w:numId w:val="12"/>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“Stalking” means engaging in a course of conduct directed at a specific person that would cause a reasonable person to – (1) fear for the person’s safety or the safety of others; or (2) suffer substantial emotional distress.</w:t>
      </w:r>
      <w:r w:rsidRPr="003B7D0D">
        <w:rPr>
          <w:rFonts w:ascii="Verdana" w:eastAsia="Times New Roman" w:hAnsi="Verdana" w:cs="Times New Roman"/>
          <w:color w:val="333333"/>
          <w:kern w:val="0"/>
          <w:sz w:val="17"/>
          <w:szCs w:val="17"/>
          <w14:ligatures w14:val="none"/>
        </w:rPr>
        <w:br/>
        <w:t> </w:t>
      </w:r>
    </w:p>
    <w:p w14:paraId="5F29E7F0"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inherit" w:eastAsia="Times New Roman" w:hAnsi="inherit" w:cs="Times New Roman"/>
          <w:b/>
          <w:bCs/>
          <w:color w:val="333333"/>
          <w:kern w:val="0"/>
          <w:sz w:val="17"/>
          <w:szCs w:val="17"/>
          <w:bdr w:val="none" w:sz="0" w:space="0" w:color="auto" w:frame="1"/>
          <w14:ligatures w14:val="none"/>
        </w:rPr>
        <w:t>Complainant: </w:t>
      </w:r>
      <w:r w:rsidRPr="003B7D0D">
        <w:rPr>
          <w:rFonts w:ascii="Verdana" w:eastAsia="Times New Roman" w:hAnsi="Verdana" w:cs="Times New Roman"/>
          <w:color w:val="333333"/>
          <w:kern w:val="0"/>
          <w:sz w:val="17"/>
          <w:szCs w:val="17"/>
          <w:bdr w:val="none" w:sz="0" w:space="0" w:color="auto" w:frame="1"/>
          <w14:ligatures w14:val="none"/>
        </w:rPr>
        <w:t>“Complainant” means an individual who is alleged to be the victim of conduct that could constitute Sexual Harassment.</w:t>
      </w:r>
    </w:p>
    <w:p w14:paraId="65B3C7B7"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3D01960A"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inherit" w:eastAsia="Times New Roman" w:hAnsi="inherit" w:cs="Times New Roman"/>
          <w:b/>
          <w:bCs/>
          <w:color w:val="333333"/>
          <w:kern w:val="0"/>
          <w:sz w:val="17"/>
          <w:szCs w:val="17"/>
          <w:bdr w:val="none" w:sz="0" w:space="0" w:color="auto" w:frame="1"/>
          <w14:ligatures w14:val="none"/>
        </w:rPr>
        <w:t>Respondent:</w:t>
      </w:r>
      <w:r w:rsidRPr="003B7D0D">
        <w:rPr>
          <w:rFonts w:ascii="Verdana" w:eastAsia="Times New Roman" w:hAnsi="Verdana" w:cs="Times New Roman"/>
          <w:color w:val="333333"/>
          <w:kern w:val="0"/>
          <w:sz w:val="17"/>
          <w:szCs w:val="17"/>
          <w:bdr w:val="none" w:sz="0" w:space="0" w:color="auto" w:frame="1"/>
          <w14:ligatures w14:val="none"/>
        </w:rPr>
        <w:t> “Respondent” means an individual who has been reported to be the perpetrator of conduct that could constitute Sexual Harassment.</w:t>
      </w:r>
    </w:p>
    <w:p w14:paraId="00E5E051"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0DDB3F5F"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inherit" w:eastAsia="Times New Roman" w:hAnsi="inherit" w:cs="Times New Roman"/>
          <w:b/>
          <w:bCs/>
          <w:color w:val="333333"/>
          <w:kern w:val="0"/>
          <w:sz w:val="17"/>
          <w:szCs w:val="17"/>
          <w:bdr w:val="none" w:sz="0" w:space="0" w:color="auto" w:frame="1"/>
          <w14:ligatures w14:val="none"/>
        </w:rPr>
        <w:t>Formal Complaint:</w:t>
      </w:r>
      <w:r w:rsidRPr="003B7D0D">
        <w:rPr>
          <w:rFonts w:ascii="Verdana" w:eastAsia="Times New Roman" w:hAnsi="Verdana" w:cs="Times New Roman"/>
          <w:color w:val="333333"/>
          <w:kern w:val="0"/>
          <w:sz w:val="17"/>
          <w:szCs w:val="17"/>
          <w:bdr w:val="none" w:sz="0" w:space="0" w:color="auto" w:frame="1"/>
          <w14:ligatures w14:val="none"/>
        </w:rPr>
        <w:t xml:space="preserve"> “Formal Complaint” means a document filed by a Complainant or signed by the Title IX Coordinator alleging Sexual Harassment against a Respondent and requesting that the </w:t>
      </w:r>
      <w:proofErr w:type="gramStart"/>
      <w:r w:rsidRPr="003B7D0D">
        <w:rPr>
          <w:rFonts w:ascii="Verdana" w:eastAsia="Times New Roman" w:hAnsi="Verdana" w:cs="Times New Roman"/>
          <w:color w:val="333333"/>
          <w:kern w:val="0"/>
          <w:sz w:val="17"/>
          <w:szCs w:val="17"/>
          <w:bdr w:val="none" w:sz="0" w:space="0" w:color="auto" w:frame="1"/>
          <w14:ligatures w14:val="none"/>
        </w:rPr>
        <w:t>District</w:t>
      </w:r>
      <w:proofErr w:type="gramEnd"/>
      <w:r w:rsidRPr="003B7D0D">
        <w:rPr>
          <w:rFonts w:ascii="Verdana" w:eastAsia="Times New Roman" w:hAnsi="Verdana" w:cs="Times New Roman"/>
          <w:color w:val="333333"/>
          <w:kern w:val="0"/>
          <w:sz w:val="17"/>
          <w:szCs w:val="17"/>
          <w:bdr w:val="none" w:sz="0" w:space="0" w:color="auto" w:frame="1"/>
          <w14:ligatures w14:val="none"/>
        </w:rPr>
        <w:t xml:space="preserve"> investigate the allegation(s) of Sexual Harassment. At the time of filing a Formal Complaint with the District, a Complainant must be participating in or attempting to participate in the </w:t>
      </w:r>
      <w:proofErr w:type="gramStart"/>
      <w:r w:rsidRPr="003B7D0D">
        <w:rPr>
          <w:rFonts w:ascii="Verdana" w:eastAsia="Times New Roman" w:hAnsi="Verdana" w:cs="Times New Roman"/>
          <w:color w:val="333333"/>
          <w:kern w:val="0"/>
          <w:sz w:val="17"/>
          <w:szCs w:val="17"/>
          <w:bdr w:val="none" w:sz="0" w:space="0" w:color="auto" w:frame="1"/>
          <w14:ligatures w14:val="none"/>
        </w:rPr>
        <w:t>District’s</w:t>
      </w:r>
      <w:proofErr w:type="gramEnd"/>
      <w:r w:rsidRPr="003B7D0D">
        <w:rPr>
          <w:rFonts w:ascii="Verdana" w:eastAsia="Times New Roman" w:hAnsi="Verdana" w:cs="Times New Roman"/>
          <w:color w:val="333333"/>
          <w:kern w:val="0"/>
          <w:sz w:val="17"/>
          <w:szCs w:val="17"/>
          <w:bdr w:val="none" w:sz="0" w:space="0" w:color="auto" w:frame="1"/>
          <w14:ligatures w14:val="none"/>
        </w:rPr>
        <w:t xml:space="preserve"> education program or activity. A “document filed by a complainant’’ means a document or electronic submission (such as by electronic mail or through an online portal that the Board provides for this purpose) that contains the Complainant’s physical or digital signature, or otherwise indicates that the Complainant is the person filing the Formal Complaint. Where the Title IX Coordinator signs a Formal Complaint, the Title IX Coordinator is not a Complainant or a party to the Formal Complaint and must not have a conflict of interest or bias for or against complainants or respondents generally or an individual complainant or respondent.</w:t>
      </w:r>
    </w:p>
    <w:p w14:paraId="2F1ADEFA"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34E8FC64"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inherit" w:eastAsia="Times New Roman" w:hAnsi="inherit" w:cs="Times New Roman"/>
          <w:b/>
          <w:bCs/>
          <w:color w:val="333333"/>
          <w:kern w:val="0"/>
          <w:sz w:val="17"/>
          <w:szCs w:val="17"/>
          <w:bdr w:val="none" w:sz="0" w:space="0" w:color="auto" w:frame="1"/>
          <w14:ligatures w14:val="none"/>
        </w:rPr>
        <w:t>Actual Knowledge: </w:t>
      </w:r>
      <w:r w:rsidRPr="003B7D0D">
        <w:rPr>
          <w:rFonts w:ascii="Verdana" w:eastAsia="Times New Roman" w:hAnsi="Verdana" w:cs="Times New Roman"/>
          <w:color w:val="333333"/>
          <w:kern w:val="0"/>
          <w:sz w:val="17"/>
          <w:szCs w:val="17"/>
          <w:bdr w:val="none" w:sz="0" w:space="0" w:color="auto" w:frame="1"/>
          <w14:ligatures w14:val="none"/>
        </w:rPr>
        <w:t xml:space="preserve">“Actual knowledge” means notice of Sexual Harassment or allegations of Sexual Harassment to the District’s Title IX Coordinator, or any District official who has authority to institute corrective measures on behalf of the Board, or any Board employee. The mere ability or obligation to report Sexual Harassment or to inform a student about how to report Sexual Harassment, or having been trained to do so, does not qualify an individual as one who has the authority to institute corrective measures on behalf of the </w:t>
      </w:r>
      <w:proofErr w:type="gramStart"/>
      <w:r w:rsidRPr="003B7D0D">
        <w:rPr>
          <w:rFonts w:ascii="Verdana" w:eastAsia="Times New Roman" w:hAnsi="Verdana" w:cs="Times New Roman"/>
          <w:color w:val="333333"/>
          <w:kern w:val="0"/>
          <w:sz w:val="17"/>
          <w:szCs w:val="17"/>
          <w:bdr w:val="none" w:sz="0" w:space="0" w:color="auto" w:frame="1"/>
          <w14:ligatures w14:val="none"/>
        </w:rPr>
        <w:t>District</w:t>
      </w:r>
      <w:proofErr w:type="gramEnd"/>
      <w:r w:rsidRPr="003B7D0D">
        <w:rPr>
          <w:rFonts w:ascii="Verdana" w:eastAsia="Times New Roman" w:hAnsi="Verdana" w:cs="Times New Roman"/>
          <w:color w:val="333333"/>
          <w:kern w:val="0"/>
          <w:sz w:val="17"/>
          <w:szCs w:val="17"/>
          <w:bdr w:val="none" w:sz="0" w:space="0" w:color="auto" w:frame="1"/>
          <w14:ligatures w14:val="none"/>
        </w:rPr>
        <w:t>. “Notice” includes, but is not limited to, a report of Sexual Harassment to the Title IX Coordinator. This standard is not met when the only District official with actual knowledge is the Respondent.</w:t>
      </w:r>
    </w:p>
    <w:p w14:paraId="6927692C"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27FAA134"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inherit" w:eastAsia="Times New Roman" w:hAnsi="inherit" w:cs="Times New Roman"/>
          <w:b/>
          <w:bCs/>
          <w:color w:val="333333"/>
          <w:kern w:val="0"/>
          <w:sz w:val="17"/>
          <w:szCs w:val="17"/>
          <w:bdr w:val="none" w:sz="0" w:space="0" w:color="auto" w:frame="1"/>
          <w14:ligatures w14:val="none"/>
        </w:rPr>
        <w:t>Supportive Measures:</w:t>
      </w:r>
      <w:r w:rsidRPr="003B7D0D">
        <w:rPr>
          <w:rFonts w:ascii="Verdana" w:eastAsia="Times New Roman" w:hAnsi="Verdana" w:cs="Times New Roman"/>
          <w:color w:val="333333"/>
          <w:kern w:val="0"/>
          <w:sz w:val="17"/>
          <w:szCs w:val="17"/>
          <w:bdr w:val="none" w:sz="0" w:space="0" w:color="auto" w:frame="1"/>
          <w14:ligatures w14:val="none"/>
        </w:rPr>
        <w:t xml:space="preserve"> “Supportive measures” means non-disciplinary, non-punitive individualized services offered as appropriate, as reasonably available, and without fee or charge to the Complainant or the Respondent before or after the filing of a Formal Complaint or where no Formal Complaint has been filed. Such measures are designed to restore or preserve equal access to the </w:t>
      </w:r>
      <w:proofErr w:type="gramStart"/>
      <w:r w:rsidRPr="003B7D0D">
        <w:rPr>
          <w:rFonts w:ascii="Verdana" w:eastAsia="Times New Roman" w:hAnsi="Verdana" w:cs="Times New Roman"/>
          <w:color w:val="333333"/>
          <w:kern w:val="0"/>
          <w:sz w:val="17"/>
          <w:szCs w:val="17"/>
          <w:bdr w:val="none" w:sz="0" w:space="0" w:color="auto" w:frame="1"/>
          <w14:ligatures w14:val="none"/>
        </w:rPr>
        <w:t>District’s</w:t>
      </w:r>
      <w:proofErr w:type="gramEnd"/>
      <w:r w:rsidRPr="003B7D0D">
        <w:rPr>
          <w:rFonts w:ascii="Verdana" w:eastAsia="Times New Roman" w:hAnsi="Verdana" w:cs="Times New Roman"/>
          <w:color w:val="333333"/>
          <w:kern w:val="0"/>
          <w:sz w:val="17"/>
          <w:szCs w:val="17"/>
          <w:bdr w:val="none" w:sz="0" w:space="0" w:color="auto" w:frame="1"/>
          <w14:ligatures w14:val="none"/>
        </w:rPr>
        <w:t xml:space="preserve"> education program or activity without unreasonably burdening the other party, including measures designed to protect the safety of all parties or the </w:t>
      </w:r>
      <w:proofErr w:type="gramStart"/>
      <w:r w:rsidRPr="003B7D0D">
        <w:rPr>
          <w:rFonts w:ascii="Verdana" w:eastAsia="Times New Roman" w:hAnsi="Verdana" w:cs="Times New Roman"/>
          <w:color w:val="333333"/>
          <w:kern w:val="0"/>
          <w:sz w:val="17"/>
          <w:szCs w:val="17"/>
          <w:bdr w:val="none" w:sz="0" w:space="0" w:color="auto" w:frame="1"/>
          <w14:ligatures w14:val="none"/>
        </w:rPr>
        <w:t>District’s</w:t>
      </w:r>
      <w:proofErr w:type="gramEnd"/>
      <w:r w:rsidRPr="003B7D0D">
        <w:rPr>
          <w:rFonts w:ascii="Verdana" w:eastAsia="Times New Roman" w:hAnsi="Verdana" w:cs="Times New Roman"/>
          <w:color w:val="333333"/>
          <w:kern w:val="0"/>
          <w:sz w:val="17"/>
          <w:szCs w:val="17"/>
          <w:bdr w:val="none" w:sz="0" w:space="0" w:color="auto" w:frame="1"/>
          <w14:ligatures w14:val="none"/>
        </w:rPr>
        <w:t xml:space="preserve"> educational environment or deter Sexual Harassment. Supportive measures may include counseling, extensions of deadlines or other course-related adjustments, modifications of work or class schedules, school/campus escort services, mutual restrictions of contact between the parties, changes in work locations), leaves of absence, increased security and monitoring of certain areas of the campus (including school buildings and facilities), referral to Employee Assistance Program, and other similar measures.</w:t>
      </w:r>
    </w:p>
    <w:p w14:paraId="55070C60"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0A729978"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inherit" w:eastAsia="Times New Roman" w:hAnsi="inherit" w:cs="Times New Roman"/>
          <w:b/>
          <w:bCs/>
          <w:color w:val="333333"/>
          <w:kern w:val="0"/>
          <w:sz w:val="17"/>
          <w:szCs w:val="17"/>
          <w:bdr w:val="none" w:sz="0" w:space="0" w:color="auto" w:frame="1"/>
          <w14:ligatures w14:val="none"/>
        </w:rPr>
        <w:t>Education Program or Activity:</w:t>
      </w:r>
      <w:r w:rsidRPr="003B7D0D">
        <w:rPr>
          <w:rFonts w:ascii="Verdana" w:eastAsia="Times New Roman" w:hAnsi="Verdana" w:cs="Times New Roman"/>
          <w:color w:val="333333"/>
          <w:kern w:val="0"/>
          <w:sz w:val="17"/>
          <w:szCs w:val="17"/>
          <w:bdr w:val="none" w:sz="0" w:space="0" w:color="auto" w:frame="1"/>
          <w14:ligatures w14:val="none"/>
        </w:rPr>
        <w:t xml:space="preserve"> “Education program or activity” refers to all operations of the </w:t>
      </w:r>
      <w:proofErr w:type="gramStart"/>
      <w:r w:rsidRPr="003B7D0D">
        <w:rPr>
          <w:rFonts w:ascii="Verdana" w:eastAsia="Times New Roman" w:hAnsi="Verdana" w:cs="Times New Roman"/>
          <w:color w:val="333333"/>
          <w:kern w:val="0"/>
          <w:sz w:val="17"/>
          <w:szCs w:val="17"/>
          <w:bdr w:val="none" w:sz="0" w:space="0" w:color="auto" w:frame="1"/>
          <w14:ligatures w14:val="none"/>
        </w:rPr>
        <w:t>District</w:t>
      </w:r>
      <w:proofErr w:type="gramEnd"/>
      <w:r w:rsidRPr="003B7D0D">
        <w:rPr>
          <w:rFonts w:ascii="Verdana" w:eastAsia="Times New Roman" w:hAnsi="Verdana" w:cs="Times New Roman"/>
          <w:color w:val="333333"/>
          <w:kern w:val="0"/>
          <w:sz w:val="17"/>
          <w:szCs w:val="17"/>
          <w:bdr w:val="none" w:sz="0" w:space="0" w:color="auto" w:frame="1"/>
          <w14:ligatures w14:val="none"/>
        </w:rPr>
        <w:t xml:space="preserve">, including but not limited to in-person and online educational instruction, employment, extracurricular activities, athletics, performances, and community engagement and outreach programs. The term applies to all activity that occurs on school grounds or on other property owned or occupied by the Board. It also includes locations, events, and circumstances that take place off-school property/grounds over which the Board </w:t>
      </w:r>
      <w:r w:rsidRPr="003B7D0D">
        <w:rPr>
          <w:rFonts w:ascii="Verdana" w:eastAsia="Times New Roman" w:hAnsi="Verdana" w:cs="Times New Roman"/>
          <w:color w:val="333333"/>
          <w:kern w:val="0"/>
          <w:sz w:val="17"/>
          <w:szCs w:val="17"/>
          <w:bdr w:val="none" w:sz="0" w:space="0" w:color="auto" w:frame="1"/>
          <w14:ligatures w14:val="none"/>
        </w:rPr>
        <w:lastRenderedPageBreak/>
        <w:t>exercises substantial control over both the Respondent and the context in which the Sexual Harassment occurs.</w:t>
      </w:r>
    </w:p>
    <w:p w14:paraId="697634DB"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76D6B276"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inherit" w:eastAsia="Times New Roman" w:hAnsi="inherit" w:cs="Times New Roman"/>
          <w:b/>
          <w:bCs/>
          <w:color w:val="333333"/>
          <w:kern w:val="0"/>
          <w:sz w:val="17"/>
          <w:szCs w:val="17"/>
          <w:bdr w:val="none" w:sz="0" w:space="0" w:color="auto" w:frame="1"/>
          <w14:ligatures w14:val="none"/>
        </w:rPr>
        <w:t>School District community: </w:t>
      </w:r>
      <w:r w:rsidRPr="003B7D0D">
        <w:rPr>
          <w:rFonts w:ascii="Verdana" w:eastAsia="Times New Roman" w:hAnsi="Verdana" w:cs="Times New Roman"/>
          <w:color w:val="333333"/>
          <w:kern w:val="0"/>
          <w:sz w:val="17"/>
          <w:szCs w:val="17"/>
          <w:bdr w:val="none" w:sz="0" w:space="0" w:color="auto" w:frame="1"/>
          <w14:ligatures w14:val="none"/>
        </w:rPr>
        <w:t>“School District community” refers to students and Board employees (i.e., administrators, and professional and classified staff), as well as Board members, agents, volunteers, contractors, or other persons subject to the control and supervision of the Board.</w:t>
      </w:r>
    </w:p>
    <w:p w14:paraId="25895134"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1FFD06F1"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inherit" w:eastAsia="Times New Roman" w:hAnsi="inherit" w:cs="Times New Roman"/>
          <w:b/>
          <w:bCs/>
          <w:color w:val="333333"/>
          <w:kern w:val="0"/>
          <w:sz w:val="17"/>
          <w:szCs w:val="17"/>
          <w:bdr w:val="none" w:sz="0" w:space="0" w:color="auto" w:frame="1"/>
          <w14:ligatures w14:val="none"/>
        </w:rPr>
        <w:t>Third Parties:</w:t>
      </w:r>
      <w:r w:rsidRPr="003B7D0D">
        <w:rPr>
          <w:rFonts w:ascii="Verdana" w:eastAsia="Times New Roman" w:hAnsi="Verdana" w:cs="Times New Roman"/>
          <w:color w:val="333333"/>
          <w:kern w:val="0"/>
          <w:sz w:val="17"/>
          <w:szCs w:val="17"/>
          <w:bdr w:val="none" w:sz="0" w:space="0" w:color="auto" w:frame="1"/>
          <w14:ligatures w14:val="none"/>
        </w:rPr>
        <w:t> “Third Parties” include, but are not limited to, guests and/or visitors on School District property (e.g., visiting speakers, participants on opposing athletic teams, parents), vendors doing business with, or seeking to do business with the Board, and other individuals who come in contact with members of the School District community at school-related events/activities (whether on or off District property). </w:t>
      </w:r>
    </w:p>
    <w:p w14:paraId="4900173A"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2387F772"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inherit" w:eastAsia="Times New Roman" w:hAnsi="inherit" w:cs="Times New Roman"/>
          <w:b/>
          <w:bCs/>
          <w:color w:val="333333"/>
          <w:kern w:val="0"/>
          <w:sz w:val="17"/>
          <w:szCs w:val="17"/>
          <w:bdr w:val="none" w:sz="0" w:space="0" w:color="auto" w:frame="1"/>
          <w14:ligatures w14:val="none"/>
        </w:rPr>
        <w:t>Inculpatory Evidence:</w:t>
      </w:r>
      <w:r w:rsidRPr="003B7D0D">
        <w:rPr>
          <w:rFonts w:ascii="Verdana" w:eastAsia="Times New Roman" w:hAnsi="Verdana" w:cs="Times New Roman"/>
          <w:color w:val="333333"/>
          <w:kern w:val="0"/>
          <w:sz w:val="17"/>
          <w:szCs w:val="17"/>
          <w:bdr w:val="none" w:sz="0" w:space="0" w:color="auto" w:frame="1"/>
          <w14:ligatures w14:val="none"/>
        </w:rPr>
        <w:t> “Inculpatory evidence” is evidence that tends to establish a Respondent’s responsibility for alleged Sexual Harassment.</w:t>
      </w:r>
    </w:p>
    <w:p w14:paraId="322C8F0E"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7278E03A"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inherit" w:eastAsia="Times New Roman" w:hAnsi="inherit" w:cs="Times New Roman"/>
          <w:b/>
          <w:bCs/>
          <w:color w:val="333333"/>
          <w:kern w:val="0"/>
          <w:sz w:val="17"/>
          <w:szCs w:val="17"/>
          <w:bdr w:val="none" w:sz="0" w:space="0" w:color="auto" w:frame="1"/>
          <w14:ligatures w14:val="none"/>
        </w:rPr>
        <w:t>Exculpatory Evidence:</w:t>
      </w:r>
      <w:r w:rsidRPr="003B7D0D">
        <w:rPr>
          <w:rFonts w:ascii="Verdana" w:eastAsia="Times New Roman" w:hAnsi="Verdana" w:cs="Times New Roman"/>
          <w:color w:val="333333"/>
          <w:kern w:val="0"/>
          <w:sz w:val="17"/>
          <w:szCs w:val="17"/>
          <w:bdr w:val="none" w:sz="0" w:space="0" w:color="auto" w:frame="1"/>
          <w14:ligatures w14:val="none"/>
        </w:rPr>
        <w:t> “Exculpatory evidence” is evidence that tends to clear or excuse a Respondent from allegations of Sexual Harassment.</w:t>
      </w:r>
    </w:p>
    <w:p w14:paraId="223F109A"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686C9D6A"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inherit" w:eastAsia="Times New Roman" w:hAnsi="inherit" w:cs="Times New Roman"/>
          <w:b/>
          <w:bCs/>
          <w:color w:val="333333"/>
          <w:kern w:val="0"/>
          <w:sz w:val="17"/>
          <w:szCs w:val="17"/>
          <w:bdr w:val="none" w:sz="0" w:space="0" w:color="auto" w:frame="1"/>
          <w14:ligatures w14:val="none"/>
        </w:rPr>
        <w:t>Day(s):</w:t>
      </w:r>
      <w:r w:rsidRPr="003B7D0D">
        <w:rPr>
          <w:rFonts w:ascii="Verdana" w:eastAsia="Times New Roman" w:hAnsi="Verdana" w:cs="Times New Roman"/>
          <w:color w:val="333333"/>
          <w:kern w:val="0"/>
          <w:sz w:val="17"/>
          <w:szCs w:val="17"/>
          <w:bdr w:val="none" w:sz="0" w:space="0" w:color="auto" w:frame="1"/>
          <w14:ligatures w14:val="none"/>
        </w:rPr>
        <w:t> Unless expressly stated otherwise, the term “day” or “days” as used in this policy means business day(s) (i.e., a day(s) that the Board office is open for normal operating hours, Monday – Friday, excluding State-recognized holidays),</w:t>
      </w:r>
    </w:p>
    <w:p w14:paraId="29DFD190"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0A7743ED"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inherit" w:eastAsia="Times New Roman" w:hAnsi="inherit" w:cs="Times New Roman"/>
          <w:b/>
          <w:bCs/>
          <w:color w:val="333333"/>
          <w:kern w:val="0"/>
          <w:sz w:val="17"/>
          <w:szCs w:val="17"/>
          <w:bdr w:val="none" w:sz="0" w:space="0" w:color="auto" w:frame="1"/>
          <w14:ligatures w14:val="none"/>
        </w:rPr>
        <w:t>Eligible Student:</w:t>
      </w:r>
      <w:r w:rsidRPr="003B7D0D">
        <w:rPr>
          <w:rFonts w:ascii="Verdana" w:eastAsia="Times New Roman" w:hAnsi="Verdana" w:cs="Times New Roman"/>
          <w:color w:val="333333"/>
          <w:kern w:val="0"/>
          <w:sz w:val="17"/>
          <w:szCs w:val="17"/>
          <w:bdr w:val="none" w:sz="0" w:space="0" w:color="auto" w:frame="1"/>
          <w14:ligatures w14:val="none"/>
        </w:rPr>
        <w:t> “Eligible Student” means a student who has reached eighteen (18) years of age or is attending an institution of postsecondary education.</w:t>
      </w:r>
    </w:p>
    <w:p w14:paraId="1C75A0EF"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67ABAF63"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inherit" w:eastAsia="Times New Roman" w:hAnsi="inherit" w:cs="Times New Roman"/>
          <w:b/>
          <w:bCs/>
          <w:color w:val="333333"/>
          <w:kern w:val="0"/>
          <w:sz w:val="17"/>
          <w:szCs w:val="17"/>
          <w:bdr w:val="none" w:sz="0" w:space="0" w:color="auto" w:frame="1"/>
          <w14:ligatures w14:val="none"/>
        </w:rPr>
        <w:t>Title IX Administrator</w:t>
      </w:r>
    </w:p>
    <w:p w14:paraId="40745C81"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4B0D9E26"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The Board designates and authorizes the following individual to oversee and administer its efforts to comply with Title IX and its implementing regulations:</w:t>
      </w:r>
    </w:p>
    <w:p w14:paraId="6478F71D"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0FACEF2D"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John Antmann Ed.D.</w:t>
      </w:r>
    </w:p>
    <w:p w14:paraId="78604A71"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Human Resources Coordinator</w:t>
      </w:r>
    </w:p>
    <w:p w14:paraId="2114BAA1"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407-320-0317</w:t>
      </w:r>
    </w:p>
    <w:p w14:paraId="3348636B"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400 East Lake Mary Blvd</w:t>
      </w:r>
    </w:p>
    <w:p w14:paraId="7B1ACACC"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Sanford, Florida 32773</w:t>
      </w:r>
    </w:p>
    <w:p w14:paraId="4DE2E686"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john_antmann@scps.k12.fl.us</w:t>
      </w:r>
    </w:p>
    <w:p w14:paraId="14B28A9C"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207C33AD"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inherit" w:eastAsia="Times New Roman" w:hAnsi="inherit" w:cs="Times New Roman"/>
          <w:color w:val="333333"/>
          <w:kern w:val="0"/>
          <w:sz w:val="17"/>
          <w:szCs w:val="17"/>
          <w:bdr w:val="none" w:sz="0" w:space="0" w:color="auto" w:frame="1"/>
          <w:shd w:val="clear" w:color="auto" w:fill="FFFFFF"/>
          <w14:ligatures w14:val="none"/>
        </w:rPr>
        <w:t>The name, title, and contact information of this individual will be updated as personnel changes occur. This information is published at a minimum annually on the School District's website.</w:t>
      </w:r>
    </w:p>
    <w:p w14:paraId="57D745BE"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789B7851"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The Title IX Administrator shall report directly to the Superintendent except when the Superintendent is a Respondent.  In such matters, the Title IX Administrator shall report directly to the Board Attorney. Questions about this policy should be directed to the Title IX Administrator.</w:t>
      </w:r>
    </w:p>
    <w:p w14:paraId="7F63A3A6"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2C8A0A9F"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The Superintendent shall notify applicants for admission and employment, students, parents or legal guardians of elementary and secondary school students, Board employees, and all unions or professional organizations holding collective bargaining or professional agreements with the Board of the following information:</w:t>
      </w:r>
    </w:p>
    <w:p w14:paraId="46C63E38"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3E4DB69F" w14:textId="77777777" w:rsidR="003B7D0D" w:rsidRPr="003B7D0D" w:rsidRDefault="003B7D0D" w:rsidP="003B7D0D">
      <w:pPr>
        <w:shd w:val="clear" w:color="auto" w:fill="FFFFFF"/>
        <w:spacing w:after="0" w:line="240" w:lineRule="auto"/>
        <w:ind w:left="600"/>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 xml:space="preserve">The School Board </w:t>
      </w:r>
      <w:proofErr w:type="gramStart"/>
      <w:r w:rsidRPr="003B7D0D">
        <w:rPr>
          <w:rFonts w:ascii="Verdana" w:eastAsia="Times New Roman" w:hAnsi="Verdana" w:cs="Times New Roman"/>
          <w:color w:val="333333"/>
          <w:kern w:val="0"/>
          <w:sz w:val="17"/>
          <w:szCs w:val="17"/>
          <w:bdr w:val="none" w:sz="0" w:space="0" w:color="auto" w:frame="1"/>
          <w14:ligatures w14:val="none"/>
        </w:rPr>
        <w:t>of  Seminole</w:t>
      </w:r>
      <w:proofErr w:type="gramEnd"/>
      <w:r w:rsidRPr="003B7D0D">
        <w:rPr>
          <w:rFonts w:ascii="Verdana" w:eastAsia="Times New Roman" w:hAnsi="Verdana" w:cs="Times New Roman"/>
          <w:color w:val="333333"/>
          <w:kern w:val="0"/>
          <w:sz w:val="17"/>
          <w:szCs w:val="17"/>
          <w:bdr w:val="none" w:sz="0" w:space="0" w:color="auto" w:frame="1"/>
          <w14:ligatures w14:val="none"/>
        </w:rPr>
        <w:t xml:space="preserve"> County, Florida does not discriminate on the basis of sex in its education program or activity, and is required by Title IX and its implementing regulations not to discriminate in such a manner. The requirement not to discriminate in its education program or activity extends to admission and employment. The District’s Title IX Administrator is:</w:t>
      </w:r>
    </w:p>
    <w:p w14:paraId="4663C827" w14:textId="77777777" w:rsidR="003B7D0D" w:rsidRPr="003B7D0D" w:rsidRDefault="003B7D0D" w:rsidP="003B7D0D">
      <w:pPr>
        <w:shd w:val="clear" w:color="auto" w:fill="FFFFFF"/>
        <w:spacing w:after="0" w:line="240" w:lineRule="auto"/>
        <w:ind w:left="600"/>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7D026A90" w14:textId="77777777" w:rsidR="003B7D0D" w:rsidRPr="003B7D0D" w:rsidRDefault="003B7D0D" w:rsidP="003B7D0D">
      <w:pPr>
        <w:shd w:val="clear" w:color="auto" w:fill="FFFFFF"/>
        <w:spacing w:after="0" w:line="240" w:lineRule="auto"/>
        <w:ind w:left="600"/>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John Antmann Ed.D.</w:t>
      </w:r>
    </w:p>
    <w:p w14:paraId="60BF13D1" w14:textId="77777777" w:rsidR="003B7D0D" w:rsidRPr="003B7D0D" w:rsidRDefault="003B7D0D" w:rsidP="003B7D0D">
      <w:pPr>
        <w:shd w:val="clear" w:color="auto" w:fill="FFFFFF"/>
        <w:spacing w:after="0" w:line="240" w:lineRule="auto"/>
        <w:ind w:left="600"/>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Human Resources Coordinator</w:t>
      </w:r>
    </w:p>
    <w:p w14:paraId="1D681C5C" w14:textId="77777777" w:rsidR="003B7D0D" w:rsidRPr="003B7D0D" w:rsidRDefault="003B7D0D" w:rsidP="003B7D0D">
      <w:pPr>
        <w:shd w:val="clear" w:color="auto" w:fill="FFFFFF"/>
        <w:spacing w:after="0" w:line="240" w:lineRule="auto"/>
        <w:ind w:left="600"/>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407-320-0317</w:t>
      </w:r>
    </w:p>
    <w:p w14:paraId="3E14AA52" w14:textId="77777777" w:rsidR="003B7D0D" w:rsidRPr="003B7D0D" w:rsidRDefault="003B7D0D" w:rsidP="003B7D0D">
      <w:pPr>
        <w:shd w:val="clear" w:color="auto" w:fill="FFFFFF"/>
        <w:spacing w:after="0" w:line="240" w:lineRule="auto"/>
        <w:ind w:left="600"/>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400 East Lake Mary Blvd</w:t>
      </w:r>
    </w:p>
    <w:p w14:paraId="39D6EEC5" w14:textId="77777777" w:rsidR="003B7D0D" w:rsidRPr="003B7D0D" w:rsidRDefault="003B7D0D" w:rsidP="003B7D0D">
      <w:pPr>
        <w:shd w:val="clear" w:color="auto" w:fill="FFFFFF"/>
        <w:spacing w:after="0" w:line="240" w:lineRule="auto"/>
        <w:ind w:left="600"/>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Sanford, Florida 32773</w:t>
      </w:r>
    </w:p>
    <w:p w14:paraId="0592D363" w14:textId="77777777" w:rsidR="003B7D0D" w:rsidRPr="003B7D0D" w:rsidRDefault="003B7D0D" w:rsidP="003B7D0D">
      <w:pPr>
        <w:shd w:val="clear" w:color="auto" w:fill="FFFFFF"/>
        <w:spacing w:after="0" w:line="240" w:lineRule="auto"/>
        <w:ind w:left="600"/>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john_antmann@scps.k12.fl.us</w:t>
      </w:r>
    </w:p>
    <w:p w14:paraId="6CC42BF1" w14:textId="77777777" w:rsidR="003B7D0D" w:rsidRPr="003B7D0D" w:rsidRDefault="003B7D0D" w:rsidP="003B7D0D">
      <w:pPr>
        <w:shd w:val="clear" w:color="auto" w:fill="FFFFFF"/>
        <w:spacing w:after="0" w:line="240" w:lineRule="auto"/>
        <w:ind w:left="600"/>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3CD6B87C" w14:textId="77777777" w:rsidR="003B7D0D" w:rsidRPr="003B7D0D" w:rsidRDefault="003B7D0D" w:rsidP="003B7D0D">
      <w:pPr>
        <w:shd w:val="clear" w:color="auto" w:fill="FFFFFF"/>
        <w:spacing w:after="0" w:line="240" w:lineRule="auto"/>
        <w:ind w:left="600"/>
        <w:textAlignment w:val="top"/>
        <w:rPr>
          <w:rFonts w:ascii="Verdana" w:eastAsia="Times New Roman" w:hAnsi="Verdana" w:cs="Times New Roman"/>
          <w:color w:val="333333"/>
          <w:kern w:val="0"/>
          <w:sz w:val="17"/>
          <w:szCs w:val="17"/>
          <w14:ligatures w14:val="none"/>
        </w:rPr>
      </w:pPr>
      <w:r w:rsidRPr="003B7D0D">
        <w:rPr>
          <w:rFonts w:ascii="inherit" w:eastAsia="Times New Roman" w:hAnsi="inherit" w:cs="Times New Roman"/>
          <w:color w:val="333333"/>
          <w:kern w:val="0"/>
          <w:sz w:val="17"/>
          <w:szCs w:val="17"/>
          <w:bdr w:val="none" w:sz="0" w:space="0" w:color="auto" w:frame="1"/>
          <w:shd w:val="clear" w:color="auto" w:fill="FFFFFF"/>
          <w14:ligatures w14:val="none"/>
        </w:rPr>
        <w:lastRenderedPageBreak/>
        <w:t>The name, title, and contact information of this individual will be updated as personnel changes occur. This information is published at a minimum annually on the School District's website.</w:t>
      </w:r>
    </w:p>
    <w:p w14:paraId="1470314F" w14:textId="77777777" w:rsidR="003B7D0D" w:rsidRPr="003B7D0D" w:rsidRDefault="003B7D0D" w:rsidP="003B7D0D">
      <w:pPr>
        <w:shd w:val="clear" w:color="auto" w:fill="FFFFFF"/>
        <w:spacing w:after="0" w:line="240" w:lineRule="auto"/>
        <w:ind w:left="600"/>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2F206962" w14:textId="77777777" w:rsidR="003B7D0D" w:rsidRPr="003B7D0D" w:rsidRDefault="003B7D0D" w:rsidP="003B7D0D">
      <w:pPr>
        <w:shd w:val="clear" w:color="auto" w:fill="FFFFFF"/>
        <w:spacing w:after="0" w:line="240" w:lineRule="auto"/>
        <w:ind w:left="600"/>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The District's Title IX Coordinators can be found at https://www.scps.k12.fl.us/core/fileparse.php/1128/urlt/Title-IX-Coordinators-02-25-2021.pdf.</w:t>
      </w:r>
    </w:p>
    <w:p w14:paraId="0977AB99" w14:textId="77777777" w:rsidR="003B7D0D" w:rsidRPr="003B7D0D" w:rsidRDefault="003B7D0D" w:rsidP="003B7D0D">
      <w:pPr>
        <w:shd w:val="clear" w:color="auto" w:fill="FFFFFF"/>
        <w:spacing w:after="0" w:line="240" w:lineRule="auto"/>
        <w:ind w:left="600"/>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4EFEBBA3" w14:textId="77777777" w:rsidR="003B7D0D" w:rsidRPr="003B7D0D" w:rsidRDefault="003B7D0D" w:rsidP="003B7D0D">
      <w:pPr>
        <w:shd w:val="clear" w:color="auto" w:fill="FFFFFF"/>
        <w:spacing w:after="0" w:line="240" w:lineRule="auto"/>
        <w:ind w:left="600"/>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 xml:space="preserve">Any inquiries about the application of Title IX and its implementing regulations to the </w:t>
      </w:r>
      <w:proofErr w:type="gramStart"/>
      <w:r w:rsidRPr="003B7D0D">
        <w:rPr>
          <w:rFonts w:ascii="Verdana" w:eastAsia="Times New Roman" w:hAnsi="Verdana" w:cs="Times New Roman"/>
          <w:color w:val="333333"/>
          <w:kern w:val="0"/>
          <w:sz w:val="17"/>
          <w:szCs w:val="17"/>
          <w:bdr w:val="none" w:sz="0" w:space="0" w:color="auto" w:frame="1"/>
          <w14:ligatures w14:val="none"/>
        </w:rPr>
        <w:t>District</w:t>
      </w:r>
      <w:proofErr w:type="gramEnd"/>
      <w:r w:rsidRPr="003B7D0D">
        <w:rPr>
          <w:rFonts w:ascii="Verdana" w:eastAsia="Times New Roman" w:hAnsi="Verdana" w:cs="Times New Roman"/>
          <w:color w:val="333333"/>
          <w:kern w:val="0"/>
          <w:sz w:val="17"/>
          <w:szCs w:val="17"/>
          <w:bdr w:val="none" w:sz="0" w:space="0" w:color="auto" w:frame="1"/>
          <w14:ligatures w14:val="none"/>
        </w:rPr>
        <w:t xml:space="preserve"> may be referred to the Title IX Administrator, Title IX Coordinator(s), the Assistant Secretary for the U.S. Department of Education’s Office for Civil Rights, or both.</w:t>
      </w:r>
    </w:p>
    <w:p w14:paraId="1D7138C1" w14:textId="77777777" w:rsidR="003B7D0D" w:rsidRPr="003B7D0D" w:rsidRDefault="003B7D0D" w:rsidP="003B7D0D">
      <w:pPr>
        <w:shd w:val="clear" w:color="auto" w:fill="FFFFFF"/>
        <w:spacing w:after="0" w:line="240" w:lineRule="auto"/>
        <w:ind w:left="600"/>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1B9B041B" w14:textId="77777777" w:rsidR="003B7D0D" w:rsidRPr="003B7D0D" w:rsidRDefault="003B7D0D" w:rsidP="003B7D0D">
      <w:pPr>
        <w:shd w:val="clear" w:color="auto" w:fill="FFFFFF"/>
        <w:spacing w:after="0" w:line="240" w:lineRule="auto"/>
        <w:ind w:left="600"/>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The Board has adopted a grievance process that provides for the prompt and equitable resolution of student and employee complaints alleging any action that is prohibited by Title IX and/or its implementing regulations. The grievance process is included in Policy 2266 – Nondiscrimination on the Basis of Sex in Education Programs or Activities, which is available at: https://</w:t>
      </w:r>
      <w:proofErr w:type="spellStart"/>
      <w:r w:rsidRPr="003B7D0D">
        <w:rPr>
          <w:rFonts w:ascii="Verdana" w:eastAsia="Times New Roman" w:hAnsi="Verdana" w:cs="Times New Roman"/>
          <w:color w:val="333333"/>
          <w:kern w:val="0"/>
          <w:sz w:val="17"/>
          <w:szCs w:val="17"/>
          <w:bdr w:val="none" w:sz="0" w:space="0" w:color="auto" w:frame="1"/>
          <w14:ligatures w14:val="none"/>
        </w:rPr>
        <w:t>go.boarddocs.com</w:t>
      </w:r>
      <w:proofErr w:type="spellEnd"/>
      <w:r w:rsidRPr="003B7D0D">
        <w:rPr>
          <w:rFonts w:ascii="Verdana" w:eastAsia="Times New Roman" w:hAnsi="Verdana" w:cs="Times New Roman"/>
          <w:color w:val="333333"/>
          <w:kern w:val="0"/>
          <w:sz w:val="17"/>
          <w:szCs w:val="17"/>
          <w:bdr w:val="none" w:sz="0" w:space="0" w:color="auto" w:frame="1"/>
          <w14:ligatures w14:val="none"/>
        </w:rPr>
        <w:t>/</w:t>
      </w:r>
      <w:proofErr w:type="spellStart"/>
      <w:r w:rsidRPr="003B7D0D">
        <w:rPr>
          <w:rFonts w:ascii="Verdana" w:eastAsia="Times New Roman" w:hAnsi="Verdana" w:cs="Times New Roman"/>
          <w:color w:val="333333"/>
          <w:kern w:val="0"/>
          <w:sz w:val="17"/>
          <w:szCs w:val="17"/>
          <w:bdr w:val="none" w:sz="0" w:space="0" w:color="auto" w:frame="1"/>
          <w14:ligatures w14:val="none"/>
        </w:rPr>
        <w:t>fl</w:t>
      </w:r>
      <w:proofErr w:type="spellEnd"/>
      <w:r w:rsidRPr="003B7D0D">
        <w:rPr>
          <w:rFonts w:ascii="Verdana" w:eastAsia="Times New Roman" w:hAnsi="Verdana" w:cs="Times New Roman"/>
          <w:color w:val="333333"/>
          <w:kern w:val="0"/>
          <w:sz w:val="17"/>
          <w:szCs w:val="17"/>
          <w:bdr w:val="none" w:sz="0" w:space="0" w:color="auto" w:frame="1"/>
          <w14:ligatures w14:val="none"/>
        </w:rPr>
        <w:t>/semi/</w:t>
      </w:r>
      <w:proofErr w:type="spellStart"/>
      <w:r w:rsidRPr="003B7D0D">
        <w:rPr>
          <w:rFonts w:ascii="Verdana" w:eastAsia="Times New Roman" w:hAnsi="Verdana" w:cs="Times New Roman"/>
          <w:color w:val="333333"/>
          <w:kern w:val="0"/>
          <w:sz w:val="17"/>
          <w:szCs w:val="17"/>
          <w:bdr w:val="none" w:sz="0" w:space="0" w:color="auto" w:frame="1"/>
          <w14:ligatures w14:val="none"/>
        </w:rPr>
        <w:t>Board.nsf</w:t>
      </w:r>
      <w:proofErr w:type="spellEnd"/>
      <w:r w:rsidRPr="003B7D0D">
        <w:rPr>
          <w:rFonts w:ascii="Verdana" w:eastAsia="Times New Roman" w:hAnsi="Verdana" w:cs="Times New Roman"/>
          <w:color w:val="333333"/>
          <w:kern w:val="0"/>
          <w:sz w:val="17"/>
          <w:szCs w:val="17"/>
          <w:bdr w:val="none" w:sz="0" w:space="0" w:color="auto" w:frame="1"/>
          <w14:ligatures w14:val="none"/>
        </w:rPr>
        <w:t xml:space="preserve">/Public# and type po2266 in search bar. The grievance process specifically addresses how to report or file a complaint of sex discrimination, how to report or file a formal complaint of Sexual Harassment, and how the </w:t>
      </w:r>
      <w:proofErr w:type="gramStart"/>
      <w:r w:rsidRPr="003B7D0D">
        <w:rPr>
          <w:rFonts w:ascii="Verdana" w:eastAsia="Times New Roman" w:hAnsi="Verdana" w:cs="Times New Roman"/>
          <w:color w:val="333333"/>
          <w:kern w:val="0"/>
          <w:sz w:val="17"/>
          <w:szCs w:val="17"/>
          <w:bdr w:val="none" w:sz="0" w:space="0" w:color="auto" w:frame="1"/>
          <w14:ligatures w14:val="none"/>
        </w:rPr>
        <w:t>District</w:t>
      </w:r>
      <w:proofErr w:type="gramEnd"/>
      <w:r w:rsidRPr="003B7D0D">
        <w:rPr>
          <w:rFonts w:ascii="Verdana" w:eastAsia="Times New Roman" w:hAnsi="Verdana" w:cs="Times New Roman"/>
          <w:color w:val="333333"/>
          <w:kern w:val="0"/>
          <w:sz w:val="17"/>
          <w:szCs w:val="17"/>
          <w:bdr w:val="none" w:sz="0" w:space="0" w:color="auto" w:frame="1"/>
          <w14:ligatures w14:val="none"/>
        </w:rPr>
        <w:t xml:space="preserve"> will respond.</w:t>
      </w:r>
    </w:p>
    <w:p w14:paraId="24F937EF"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07E3812D"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The Superintendent shall also prominently display the Title IX Administrator's contact information – including name(s) and/or title(s), phone number(s), office address(es), and e-mail address(es) – and this policy on the District’s website and in each handbook or catalog that the Board makes available to applicants for admission and employment, students, parents or legal guardians of elementary and secondary school students, Board employees, and all unions or professional organizations holding collective bargaining or professional agreements.</w:t>
      </w:r>
    </w:p>
    <w:p w14:paraId="3DDF5B69"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3CC2B099"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inherit" w:eastAsia="Times New Roman" w:hAnsi="inherit" w:cs="Times New Roman"/>
          <w:b/>
          <w:bCs/>
          <w:color w:val="333333"/>
          <w:kern w:val="0"/>
          <w:sz w:val="17"/>
          <w:szCs w:val="17"/>
          <w:bdr w:val="none" w:sz="0" w:space="0" w:color="auto" w:frame="1"/>
          <w14:ligatures w14:val="none"/>
        </w:rPr>
        <w:t>Grievance Process</w:t>
      </w:r>
    </w:p>
    <w:p w14:paraId="13FDB52D"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071C3FCA"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 xml:space="preserve">The Board is committed to promptly and equitably resolving student and employee complaints alleging Sexual Harassment. The </w:t>
      </w:r>
      <w:proofErr w:type="gramStart"/>
      <w:r w:rsidRPr="003B7D0D">
        <w:rPr>
          <w:rFonts w:ascii="Verdana" w:eastAsia="Times New Roman" w:hAnsi="Verdana" w:cs="Times New Roman"/>
          <w:color w:val="333333"/>
          <w:kern w:val="0"/>
          <w:sz w:val="17"/>
          <w:szCs w:val="17"/>
          <w:bdr w:val="none" w:sz="0" w:space="0" w:color="auto" w:frame="1"/>
          <w14:ligatures w14:val="none"/>
        </w:rPr>
        <w:t>District’s</w:t>
      </w:r>
      <w:proofErr w:type="gramEnd"/>
      <w:r w:rsidRPr="003B7D0D">
        <w:rPr>
          <w:rFonts w:ascii="Verdana" w:eastAsia="Times New Roman" w:hAnsi="Verdana" w:cs="Times New Roman"/>
          <w:color w:val="333333"/>
          <w:kern w:val="0"/>
          <w:sz w:val="17"/>
          <w:szCs w:val="17"/>
          <w:bdr w:val="none" w:sz="0" w:space="0" w:color="auto" w:frame="1"/>
          <w14:ligatures w14:val="none"/>
        </w:rPr>
        <w:t xml:space="preserve"> response to allegations of Sexual Harassment will treat Complainants and Respondents equitably, including providing supportive measures to the Complainant and Respondent, as appropriate, and following this Grievance Process before imposition of any disciplinary sanctions or other actions, other than supportive measures, against the Respondent.</w:t>
      </w:r>
    </w:p>
    <w:p w14:paraId="61C7E3F3"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4C80CAA0"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The Title IX Coordinator(s), along with any investigator(s), decision-maker(s), or any person(s) designated to facilitate an informal resolution process, shall not have a conflict of interest or bias for or against Complainants or Respondents generally or an individual Complainant or Respondent.</w:t>
      </w:r>
    </w:p>
    <w:p w14:paraId="03EA44CE"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4D5E3CCC"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 xml:space="preserve">If a determination of responsibility for Sexual Harassment is made against the Respondent, the Board will provide remedies to the Complainant. The remedies will be designed to restore or preserve equal access to the </w:t>
      </w:r>
      <w:proofErr w:type="gramStart"/>
      <w:r w:rsidRPr="003B7D0D">
        <w:rPr>
          <w:rFonts w:ascii="Verdana" w:eastAsia="Times New Roman" w:hAnsi="Verdana" w:cs="Times New Roman"/>
          <w:color w:val="333333"/>
          <w:kern w:val="0"/>
          <w:sz w:val="17"/>
          <w:szCs w:val="17"/>
          <w:bdr w:val="none" w:sz="0" w:space="0" w:color="auto" w:frame="1"/>
          <w14:ligatures w14:val="none"/>
        </w:rPr>
        <w:t>District’s</w:t>
      </w:r>
      <w:proofErr w:type="gramEnd"/>
      <w:r w:rsidRPr="003B7D0D">
        <w:rPr>
          <w:rFonts w:ascii="Verdana" w:eastAsia="Times New Roman" w:hAnsi="Verdana" w:cs="Times New Roman"/>
          <w:color w:val="333333"/>
          <w:kern w:val="0"/>
          <w:sz w:val="17"/>
          <w:szCs w:val="17"/>
          <w:bdr w:val="none" w:sz="0" w:space="0" w:color="auto" w:frame="1"/>
          <w14:ligatures w14:val="none"/>
        </w:rPr>
        <w:t xml:space="preserve"> education program or activity. Potential remedies include, but are not limited to, individualized services that constitute supportive measures. Remedies may also be disciplinary or punitive in nature and may burden the Respondent.</w:t>
      </w:r>
    </w:p>
    <w:p w14:paraId="334F2D29"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7F844992"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inherit" w:eastAsia="Times New Roman" w:hAnsi="inherit" w:cs="Times New Roman"/>
          <w:b/>
          <w:bCs/>
          <w:color w:val="333333"/>
          <w:kern w:val="0"/>
          <w:sz w:val="17"/>
          <w:szCs w:val="17"/>
          <w:bdr w:val="none" w:sz="0" w:space="0" w:color="auto" w:frame="1"/>
          <w14:ligatures w14:val="none"/>
        </w:rPr>
        <w:t>Report of Sexual Discrimination/Harassment</w:t>
      </w:r>
    </w:p>
    <w:p w14:paraId="1107516A"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60CB0E39"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Any person may report sex discrimination, including Sexual Harassment (whether or not the person reporting is the person alleged to be the victim of conduct that could constitute sex discrimination or Sexual Harassment), in person, by mail, by telephone, or by electronic mail, using the Title IX Administrator's ) contact information listed above, or the Title IX Coordinator by any other means that results in the Title IX Administrator or Coordinator receiving the person’s oral or written report. Reports may be made at any time (including during non-business hours), by using the telephone number(s) or electronic mail address(es), or by mail to the office address(es), listed for the Title IX Administrator or Coordinator(s). Anonymous reports may be submitted using the hotline reporting number (800-423-8477).</w:t>
      </w:r>
    </w:p>
    <w:p w14:paraId="68ED7BD1"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79B3FC54"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Students, Board members, and Board employees are required, and other members of the School District community, and Third Parties) are encouraged, to report allegations of sex discrimination or Sexual Harassment promptly to the/a Title IX Administrator or Coordinator or to any Board employee, who will in turn notify the/a Title IX Administrator or Coordinator. Reports can be made orally or in writing and should be as specific as possible. The person making the report should, to the extent known, identify the alleged victim(s), perpetrator(s), and witness(es), and describe in detail what occurred, including date(s), time(s), and location(s).</w:t>
      </w:r>
    </w:p>
    <w:p w14:paraId="08E428F1"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340353EF"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lastRenderedPageBreak/>
        <w:t>If a report involves allegations of Sexual Harassment by or involving the Title IX Administrator or Coordinator, the person making the report should submit it to the Superintendent, or another Board employee who, in turn, will notify the Superintendent of the report. The Superintendent will then serve in place of the Title IX Administrator or Coordinator for purposes of addressing that report of Sexual Harassment.</w:t>
      </w:r>
    </w:p>
    <w:p w14:paraId="7EB7BC01"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69B47DCD"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 xml:space="preserve">The Board does business with various vendors, contractors, and other third parties who are not students or employees of the Board. Notwithstanding any rights that a given vendor, contractor, or third-party Respondent may have under this policy, the Board retains the right to limit any vendor’s, </w:t>
      </w:r>
      <w:proofErr w:type="gramStart"/>
      <w:r w:rsidRPr="003B7D0D">
        <w:rPr>
          <w:rFonts w:ascii="Verdana" w:eastAsia="Times New Roman" w:hAnsi="Verdana" w:cs="Times New Roman"/>
          <w:color w:val="333333"/>
          <w:kern w:val="0"/>
          <w:sz w:val="17"/>
          <w:szCs w:val="17"/>
          <w:bdr w:val="none" w:sz="0" w:space="0" w:color="auto" w:frame="1"/>
          <w14:ligatures w14:val="none"/>
        </w:rPr>
        <w:t>contractor’s</w:t>
      </w:r>
      <w:proofErr w:type="gramEnd"/>
      <w:r w:rsidRPr="003B7D0D">
        <w:rPr>
          <w:rFonts w:ascii="Verdana" w:eastAsia="Times New Roman" w:hAnsi="Verdana" w:cs="Times New Roman"/>
          <w:color w:val="333333"/>
          <w:kern w:val="0"/>
          <w:sz w:val="17"/>
          <w:szCs w:val="17"/>
          <w:bdr w:val="none" w:sz="0" w:space="0" w:color="auto" w:frame="1"/>
          <w14:ligatures w14:val="none"/>
        </w:rPr>
        <w:t>, or third-party’s access to school grounds for any reason. The Board further retains all rights it enjoys by contract or law to terminate its relationship with any vendor, contractor, or third party irrespective of any process or outcome under this policy.</w:t>
      </w:r>
    </w:p>
    <w:p w14:paraId="4C4B2306"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798B7930"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A person may file criminal charges simultaneously with filing a Formal Complaint. A person does not need to wait until the Title IX investigation is completed before filing a criminal complaint. Likewise, questions or complaints relating to Title IX may be filed with the U.S. Department of Education’s Office for Civil Rights at any time.</w:t>
      </w:r>
    </w:p>
    <w:p w14:paraId="76B528BC"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1EE8AFB5"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Any allegations of Sexual Misconduct/Sexual Activity not involving Sexual Harassment will be addressed through the procedures outlined in Board policies and/or administrative procedures,</w:t>
      </w:r>
      <w:r w:rsidRPr="003B7D0D">
        <w:rPr>
          <w:rFonts w:ascii="inherit" w:eastAsia="Times New Roman" w:hAnsi="inherit" w:cs="Times New Roman"/>
          <w:b/>
          <w:bCs/>
          <w:color w:val="333333"/>
          <w:kern w:val="0"/>
          <w:sz w:val="17"/>
          <w:szCs w:val="17"/>
          <w:bdr w:val="none" w:sz="0" w:space="0" w:color="auto" w:frame="1"/>
          <w14:ligatures w14:val="none"/>
        </w:rPr>
        <w:t> </w:t>
      </w:r>
      <w:r w:rsidRPr="003B7D0D">
        <w:rPr>
          <w:rFonts w:ascii="Verdana" w:eastAsia="Times New Roman" w:hAnsi="Verdana" w:cs="Times New Roman"/>
          <w:color w:val="333333"/>
          <w:kern w:val="0"/>
          <w:sz w:val="17"/>
          <w:szCs w:val="17"/>
          <w:bdr w:val="none" w:sz="0" w:space="0" w:color="auto" w:frame="1"/>
          <w14:ligatures w14:val="none"/>
        </w:rPr>
        <w:t>the applicable Student Code of Conduct, applicable collective bargaining agreement, and/or Employee/Administrator Handbook.</w:t>
      </w:r>
    </w:p>
    <w:p w14:paraId="5FA96C86"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01B52C3F"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Because the Board is considered to have actual knowledge of Sexual Harassment or allegations of Sexual Harassment if any Board employee has such knowledge, and because the Board must take specific actions when it has notice of Sexual Harassment or allegations of Sexual Harassment, a Board employee who has independent knowledge of or receives a report involving allegations of sex discrimination and/or Sexual Harassment must promptly notify the/a Title IX Administrator or Coordinator of such information.</w:t>
      </w:r>
      <w:r w:rsidRPr="003B7D0D">
        <w:rPr>
          <w:rFonts w:ascii="inherit" w:eastAsia="Times New Roman" w:hAnsi="inherit" w:cs="Times New Roman"/>
          <w:b/>
          <w:bCs/>
          <w:color w:val="333333"/>
          <w:kern w:val="0"/>
          <w:sz w:val="17"/>
          <w:szCs w:val="17"/>
          <w:bdr w:val="none" w:sz="0" w:space="0" w:color="auto" w:frame="1"/>
          <w14:ligatures w14:val="none"/>
        </w:rPr>
        <w:t> </w:t>
      </w:r>
      <w:r w:rsidRPr="003B7D0D">
        <w:rPr>
          <w:rFonts w:ascii="Verdana" w:eastAsia="Times New Roman" w:hAnsi="Verdana" w:cs="Times New Roman"/>
          <w:color w:val="333333"/>
          <w:kern w:val="0"/>
          <w:sz w:val="17"/>
          <w:szCs w:val="17"/>
          <w:bdr w:val="none" w:sz="0" w:space="0" w:color="auto" w:frame="1"/>
          <w14:ligatures w14:val="none"/>
        </w:rPr>
        <w:t>The Board employee must also comply with mandatory reporting responsibilities regarding suspected abuse, abandonment, or neglect of a child pursuant to F.S. 39.201 and Policy 8462 – Student Abuse, Abandonment, and Neglect, if applicable. If the Board employee’s knowledge is based on another individual bringing the information to the Board employee’s attention and the reporting individual submitted a written complaint to the Board employee, the Board employee must provide the written complaint to the Title IX Administrator or Coordinator.</w:t>
      </w:r>
    </w:p>
    <w:p w14:paraId="1E6F1F04"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2805A3CA"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If a Board employee fails to report an incident of Sexual Harassment of which the Board employee is aware, the Board employee may be subject to disciplinary action, up to and including termination.</w:t>
      </w:r>
    </w:p>
    <w:p w14:paraId="7B6943DC"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105D5A11"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 xml:space="preserve">When a report of Sexual Harassment is made, the Title IX Administrator or Coordinator shall promptly contact the Complainant (including the parent/guardian if the Complainant is under eighteen (18) years of age or under guardianship) to discuss the availability of supportive measures, consider the Complainant’s wishes with respect to supportive measures, inform the Complainant of the availability of supportive measures with or without the filing of a Formal Complaint, and explain to the Complainant the process for filing a Formal Complaint. The Title IX Coordinator is responsible for coordinating the effective implementation of supportive measures. Any supportive measures provided to the Complainant or Respondent shall be maintained as confidential, to the extent that maintaining such confidentiality will not impair the ability of the </w:t>
      </w:r>
      <w:proofErr w:type="gramStart"/>
      <w:r w:rsidRPr="003B7D0D">
        <w:rPr>
          <w:rFonts w:ascii="Verdana" w:eastAsia="Times New Roman" w:hAnsi="Verdana" w:cs="Times New Roman"/>
          <w:color w:val="333333"/>
          <w:kern w:val="0"/>
          <w:sz w:val="17"/>
          <w:szCs w:val="17"/>
          <w:bdr w:val="none" w:sz="0" w:space="0" w:color="auto" w:frame="1"/>
          <w14:ligatures w14:val="none"/>
        </w:rPr>
        <w:t>District</w:t>
      </w:r>
      <w:proofErr w:type="gramEnd"/>
      <w:r w:rsidRPr="003B7D0D">
        <w:rPr>
          <w:rFonts w:ascii="Verdana" w:eastAsia="Times New Roman" w:hAnsi="Verdana" w:cs="Times New Roman"/>
          <w:color w:val="333333"/>
          <w:kern w:val="0"/>
          <w:sz w:val="17"/>
          <w:szCs w:val="17"/>
          <w:bdr w:val="none" w:sz="0" w:space="0" w:color="auto" w:frame="1"/>
          <w14:ligatures w14:val="none"/>
        </w:rPr>
        <w:t xml:space="preserve"> to provide the supportive measures.</w:t>
      </w:r>
    </w:p>
    <w:p w14:paraId="6854FD7D"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1F8D90E9"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inherit" w:eastAsia="Times New Roman" w:hAnsi="inherit" w:cs="Times New Roman"/>
          <w:b/>
          <w:bCs/>
          <w:color w:val="333333"/>
          <w:kern w:val="0"/>
          <w:sz w:val="17"/>
          <w:szCs w:val="17"/>
          <w:bdr w:val="none" w:sz="0" w:space="0" w:color="auto" w:frame="1"/>
          <w14:ligatures w14:val="none"/>
        </w:rPr>
        <w:t>Emergency Removal:</w:t>
      </w:r>
      <w:r w:rsidRPr="003B7D0D">
        <w:rPr>
          <w:rFonts w:ascii="Verdana" w:eastAsia="Times New Roman" w:hAnsi="Verdana" w:cs="Times New Roman"/>
          <w:color w:val="333333"/>
          <w:kern w:val="0"/>
          <w:sz w:val="17"/>
          <w:szCs w:val="17"/>
          <w:bdr w:val="none" w:sz="0" w:space="0" w:color="auto" w:frame="1"/>
          <w14:ligatures w14:val="none"/>
        </w:rPr>
        <w:t xml:space="preserve"> Subject to limitations and/or procedures imposed by State and/or Federal law, the </w:t>
      </w:r>
      <w:proofErr w:type="gramStart"/>
      <w:r w:rsidRPr="003B7D0D">
        <w:rPr>
          <w:rFonts w:ascii="Verdana" w:eastAsia="Times New Roman" w:hAnsi="Verdana" w:cs="Times New Roman"/>
          <w:color w:val="333333"/>
          <w:kern w:val="0"/>
          <w:sz w:val="17"/>
          <w:szCs w:val="17"/>
          <w:bdr w:val="none" w:sz="0" w:space="0" w:color="auto" w:frame="1"/>
          <w14:ligatures w14:val="none"/>
        </w:rPr>
        <w:t>District</w:t>
      </w:r>
      <w:proofErr w:type="gramEnd"/>
      <w:r w:rsidRPr="003B7D0D">
        <w:rPr>
          <w:rFonts w:ascii="Verdana" w:eastAsia="Times New Roman" w:hAnsi="Verdana" w:cs="Times New Roman"/>
          <w:color w:val="333333"/>
          <w:kern w:val="0"/>
          <w:sz w:val="17"/>
          <w:szCs w:val="17"/>
          <w:bdr w:val="none" w:sz="0" w:space="0" w:color="auto" w:frame="1"/>
          <w14:ligatures w14:val="none"/>
        </w:rPr>
        <w:t xml:space="preserve"> may remove a student Respondent from its education program or activity on an emergency basis after conducting an individualized safety and risk analysis. The purposes of the individualized safety and risk analysis is to determine whether the student Respondent poses an immediate threat to the physical health or safety of any student or other individual arising from the allegations of Sexual Harassment that justifies removal. If the District determines the student Respondent poses such a threat, it will so notify the student Respondent and the student Respondent will have an opportunity to challenge the decision immediately following the removal. See Policy 5610 – Removal, Out-of-School Suspension, Disciplinary Placement, and Expulsion of Students, Policy 5610.01 – Emergency Removal of Students, and Policy 5611 – Due Process Rights.</w:t>
      </w:r>
    </w:p>
    <w:p w14:paraId="14FCEEB9"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465EEBE6"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 xml:space="preserve">If the Respondent is a non-student employee, the </w:t>
      </w:r>
      <w:proofErr w:type="gramStart"/>
      <w:r w:rsidRPr="003B7D0D">
        <w:rPr>
          <w:rFonts w:ascii="Verdana" w:eastAsia="Times New Roman" w:hAnsi="Verdana" w:cs="Times New Roman"/>
          <w:color w:val="333333"/>
          <w:kern w:val="0"/>
          <w:sz w:val="17"/>
          <w:szCs w:val="17"/>
          <w:bdr w:val="none" w:sz="0" w:space="0" w:color="auto" w:frame="1"/>
          <w14:ligatures w14:val="none"/>
        </w:rPr>
        <w:t>District</w:t>
      </w:r>
      <w:proofErr w:type="gramEnd"/>
      <w:r w:rsidRPr="003B7D0D">
        <w:rPr>
          <w:rFonts w:ascii="Verdana" w:eastAsia="Times New Roman" w:hAnsi="Verdana" w:cs="Times New Roman"/>
          <w:color w:val="333333"/>
          <w:kern w:val="0"/>
          <w:sz w:val="17"/>
          <w:szCs w:val="17"/>
          <w:bdr w:val="none" w:sz="0" w:space="0" w:color="auto" w:frame="1"/>
          <w14:ligatures w14:val="none"/>
        </w:rPr>
        <w:t xml:space="preserve"> may place the Respondent on administrative leave during the pendency of the grievance process.</w:t>
      </w:r>
    </w:p>
    <w:p w14:paraId="428CB557"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2B159BD4"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lastRenderedPageBreak/>
        <w:t>For all other Respondents, including other members of the School District community and Third Parties, the Board retains broad discretion to prohibit such persons from entering onto its school grounds and other properties at any time and for any reason, whether after receiving a report of Sexual Harassment or otherwise.</w:t>
      </w:r>
    </w:p>
    <w:p w14:paraId="7707E9F5"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05A742F6"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inherit" w:eastAsia="Times New Roman" w:hAnsi="inherit" w:cs="Times New Roman"/>
          <w:b/>
          <w:bCs/>
          <w:color w:val="333333"/>
          <w:kern w:val="0"/>
          <w:sz w:val="17"/>
          <w:szCs w:val="17"/>
          <w:bdr w:val="none" w:sz="0" w:space="0" w:color="auto" w:frame="1"/>
          <w14:ligatures w14:val="none"/>
        </w:rPr>
        <w:t>Formal Complaint of Sexual Harassment</w:t>
      </w:r>
    </w:p>
    <w:p w14:paraId="7CC07AA8"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7F2E6E12"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A Formal Complaint may be filed with the Title IX Administrator or Coordinator in person, by mail, or by electronic mail, by using the contact information set forth above. If a Formal Complaint involves allegations of Sexual Harassment by or involving the Title IX Administrator or Coordinator, the Complainant should submit the Formal Complaint to the Superintendent, who will designate another person to serve in place of the Title IX Administrator or Coordinator for the limited purpose of implementing the grievance process with respect to that Formal Complaint.</w:t>
      </w:r>
    </w:p>
    <w:p w14:paraId="3341B03C"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7A12C5D6"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When the Title IX Administrator or Coordinator receives a Formal Complaint or signs a Formal Complaint, the District will follow its Grievance Process, as set forth herein. Specifically, the District will undertake an objective evaluation of all relevant evidence – including both inculpatory and exculpatory evidence – and provide that credibility determinations will not be based on a person’s status as a Complainant, Respondent, or witness.</w:t>
      </w:r>
    </w:p>
    <w:p w14:paraId="3D3C8CFE"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56F9B5A1"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It is a violation of this policy for a Complainant(s), Respondent(s), and/or witness(es) to knowingly making false statements or knowingly submitting false information during the grievance process, including intentionally making a false report of Sexual Harassment or submitting a false Formal Complaint. The Board will not tolerate such conduct, which is a violation of the Student Code of Conduct.</w:t>
      </w:r>
    </w:p>
    <w:p w14:paraId="44B9B4A9"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235482B3"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The Respondent is presumed not responsible for the alleged conduct until a determination regarding responsibility is made at the conclusion of the grievance process.</w:t>
      </w:r>
    </w:p>
    <w:p w14:paraId="7C26D58E"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78DBA231"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inherit" w:eastAsia="Times New Roman" w:hAnsi="inherit" w:cs="Times New Roman"/>
          <w:b/>
          <w:bCs/>
          <w:color w:val="333333"/>
          <w:kern w:val="0"/>
          <w:sz w:val="17"/>
          <w:szCs w:val="17"/>
          <w:bdr w:val="none" w:sz="0" w:space="0" w:color="auto" w:frame="1"/>
          <w14:ligatures w14:val="none"/>
        </w:rPr>
        <w:t>Timeline</w:t>
      </w:r>
    </w:p>
    <w:p w14:paraId="1CEA2A83"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5E6DAF0B"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 xml:space="preserve">The </w:t>
      </w:r>
      <w:proofErr w:type="gramStart"/>
      <w:r w:rsidRPr="003B7D0D">
        <w:rPr>
          <w:rFonts w:ascii="Verdana" w:eastAsia="Times New Roman" w:hAnsi="Verdana" w:cs="Times New Roman"/>
          <w:color w:val="333333"/>
          <w:kern w:val="0"/>
          <w:sz w:val="17"/>
          <w:szCs w:val="17"/>
          <w:bdr w:val="none" w:sz="0" w:space="0" w:color="auto" w:frame="1"/>
          <w14:ligatures w14:val="none"/>
        </w:rPr>
        <w:t>District</w:t>
      </w:r>
      <w:proofErr w:type="gramEnd"/>
      <w:r w:rsidRPr="003B7D0D">
        <w:rPr>
          <w:rFonts w:ascii="Verdana" w:eastAsia="Times New Roman" w:hAnsi="Verdana" w:cs="Times New Roman"/>
          <w:color w:val="333333"/>
          <w:kern w:val="0"/>
          <w:sz w:val="17"/>
          <w:szCs w:val="17"/>
          <w:bdr w:val="none" w:sz="0" w:space="0" w:color="auto" w:frame="1"/>
          <w14:ligatures w14:val="none"/>
        </w:rPr>
        <w:t xml:space="preserve"> will seek to conclude the grievance process, including resolving any appeals, within sixty (60) days of receipt of the Formal Complaint.</w:t>
      </w:r>
    </w:p>
    <w:p w14:paraId="30E10F77"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451B133C"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If the Title IX Administrator or Coordinator offers informal resolution processes, the informal resolution processes may not be used by the Complainant or Respondent to unduly delay the investigation and determination of responsibility. The timeline, however, may be subject to a temporary delay of the grievance process or a limited extension for good cause with written notice to the Complainant and the Respondent of the delay or extension and the reasons for the action. Good cause may include considerations such as the absence of a party, a party’s advisor, or a witness; concurrent law enforcement activity; and the need for language assistance or an accommodation of disabilities.</w:t>
      </w:r>
    </w:p>
    <w:p w14:paraId="3ABDB7D1"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1B41B0A8"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Upon receipt of a Formal Complaint, the Title IX Administrator or Coordinator will provide written notice of the following to the parties who are known:</w:t>
      </w:r>
      <w:r w:rsidRPr="003B7D0D">
        <w:rPr>
          <w:rFonts w:ascii="Verdana" w:eastAsia="Times New Roman" w:hAnsi="Verdana" w:cs="Times New Roman"/>
          <w:color w:val="333333"/>
          <w:kern w:val="0"/>
          <w:sz w:val="17"/>
          <w:szCs w:val="17"/>
          <w14:ligatures w14:val="none"/>
        </w:rPr>
        <w:br/>
        <w:t> </w:t>
      </w:r>
    </w:p>
    <w:p w14:paraId="4222EDCE" w14:textId="77777777" w:rsidR="003B7D0D" w:rsidRPr="003B7D0D" w:rsidRDefault="003B7D0D" w:rsidP="003B7D0D">
      <w:pPr>
        <w:numPr>
          <w:ilvl w:val="0"/>
          <w:numId w:val="13"/>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Notice of the Board’s grievance process, including any informal resolution processes;</w:t>
      </w:r>
      <w:r w:rsidRPr="003B7D0D">
        <w:rPr>
          <w:rFonts w:ascii="Verdana" w:eastAsia="Times New Roman" w:hAnsi="Verdana" w:cs="Times New Roman"/>
          <w:color w:val="333333"/>
          <w:kern w:val="0"/>
          <w:sz w:val="17"/>
          <w:szCs w:val="17"/>
          <w14:ligatures w14:val="none"/>
        </w:rPr>
        <w:br/>
        <w:t> </w:t>
      </w:r>
    </w:p>
    <w:p w14:paraId="5109CA55" w14:textId="77777777" w:rsidR="003B7D0D" w:rsidRPr="003B7D0D" w:rsidRDefault="003B7D0D" w:rsidP="003B7D0D">
      <w:pPr>
        <w:numPr>
          <w:ilvl w:val="0"/>
          <w:numId w:val="13"/>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Notice of the allegations of misconduct that potentially constitutes Sexual Harassment as defined in this policy, including sufficient details known at the time and with sufficient time to prepare a response before any initial interview. Sufficient details include the identities of the parties involved in the incident, if known, the conduct allegedly constituting Sexual Harassment, and the date and location of the alleged incident, if known. The written notice must:</w:t>
      </w:r>
      <w:r w:rsidRPr="003B7D0D">
        <w:rPr>
          <w:rFonts w:ascii="Verdana" w:eastAsia="Times New Roman" w:hAnsi="Verdana" w:cs="Times New Roman"/>
          <w:color w:val="333333"/>
          <w:kern w:val="0"/>
          <w:sz w:val="17"/>
          <w:szCs w:val="17"/>
          <w14:ligatures w14:val="none"/>
        </w:rPr>
        <w:br/>
        <w:t> </w:t>
      </w:r>
    </w:p>
    <w:p w14:paraId="7FA3F831" w14:textId="77777777" w:rsidR="003B7D0D" w:rsidRPr="003B7D0D" w:rsidRDefault="003B7D0D" w:rsidP="003B7D0D">
      <w:pPr>
        <w:numPr>
          <w:ilvl w:val="1"/>
          <w:numId w:val="13"/>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include a statement that the Respondent is presumed not responsible for the alleged conduct and that a determination regarding responsibility will be made at the conclusion of the grievance process;</w:t>
      </w:r>
      <w:r w:rsidRPr="003B7D0D">
        <w:rPr>
          <w:rFonts w:ascii="Verdana" w:eastAsia="Times New Roman" w:hAnsi="Verdana" w:cs="Times New Roman"/>
          <w:color w:val="333333"/>
          <w:kern w:val="0"/>
          <w:sz w:val="17"/>
          <w:szCs w:val="17"/>
          <w14:ligatures w14:val="none"/>
        </w:rPr>
        <w:br/>
        <w:t> </w:t>
      </w:r>
    </w:p>
    <w:p w14:paraId="50755D6C" w14:textId="77777777" w:rsidR="003B7D0D" w:rsidRPr="003B7D0D" w:rsidRDefault="003B7D0D" w:rsidP="003B7D0D">
      <w:pPr>
        <w:numPr>
          <w:ilvl w:val="1"/>
          <w:numId w:val="13"/>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inform the parties that they may have an advisor of their choice, who may be, but is not required to be, an attorney, and may inspect and review evidence.</w:t>
      </w:r>
      <w:r w:rsidRPr="003B7D0D">
        <w:rPr>
          <w:rFonts w:ascii="Verdana" w:eastAsia="Times New Roman" w:hAnsi="Verdana" w:cs="Times New Roman"/>
          <w:color w:val="333333"/>
          <w:kern w:val="0"/>
          <w:sz w:val="17"/>
          <w:szCs w:val="17"/>
          <w14:ligatures w14:val="none"/>
        </w:rPr>
        <w:br/>
        <w:t> </w:t>
      </w:r>
    </w:p>
    <w:p w14:paraId="418DC82F" w14:textId="77777777" w:rsidR="003B7D0D" w:rsidRPr="003B7D0D" w:rsidRDefault="003B7D0D" w:rsidP="003B7D0D">
      <w:pPr>
        <w:numPr>
          <w:ilvl w:val="1"/>
          <w:numId w:val="13"/>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 xml:space="preserve">inform the parties of any provision in the Student Code of Conduct and this policy, that prohibits knowingly making false statements or knowingly submitting false information </w:t>
      </w:r>
      <w:r w:rsidRPr="003B7D0D">
        <w:rPr>
          <w:rFonts w:ascii="Verdana" w:eastAsia="Times New Roman" w:hAnsi="Verdana" w:cs="Times New Roman"/>
          <w:color w:val="333333"/>
          <w:kern w:val="0"/>
          <w:sz w:val="17"/>
          <w:szCs w:val="17"/>
          <w:bdr w:val="none" w:sz="0" w:space="0" w:color="auto" w:frame="1"/>
          <w14:ligatures w14:val="none"/>
        </w:rPr>
        <w:lastRenderedPageBreak/>
        <w:t>during the grievance process.</w:t>
      </w:r>
      <w:r w:rsidRPr="003B7D0D">
        <w:rPr>
          <w:rFonts w:ascii="Verdana" w:eastAsia="Times New Roman" w:hAnsi="Verdana" w:cs="Times New Roman"/>
          <w:color w:val="333333"/>
          <w:kern w:val="0"/>
          <w:sz w:val="17"/>
          <w:szCs w:val="17"/>
          <w14:ligatures w14:val="none"/>
        </w:rPr>
        <w:br/>
        <w:t> </w:t>
      </w:r>
    </w:p>
    <w:p w14:paraId="774585A4"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If, during the course of the investigation, the investigator becomes aware of allegations about the Complainant or Respondent that are not included in the original notice provided to the parties, the investigator will notify the Title IX Coordinator and the Title IX Coordinator will decide whether the investigator should investigate the additional allegations; if the Title IX Coordinator decides to include the new allegations as part of the investigation, the Title IX Coordinator will provide notice of the additional allegations to the parties whose identities are known.</w:t>
      </w:r>
    </w:p>
    <w:p w14:paraId="4124EB39"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4060D348"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inherit" w:eastAsia="Times New Roman" w:hAnsi="inherit" w:cs="Times New Roman"/>
          <w:b/>
          <w:bCs/>
          <w:color w:val="333333"/>
          <w:kern w:val="0"/>
          <w:sz w:val="17"/>
          <w:szCs w:val="17"/>
          <w:bdr w:val="none" w:sz="0" w:space="0" w:color="auto" w:frame="1"/>
          <w14:ligatures w14:val="none"/>
        </w:rPr>
        <w:t>Dismissal of a Formal Complaint</w:t>
      </w:r>
    </w:p>
    <w:p w14:paraId="5D96485F"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69634ED5"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 xml:space="preserve">The </w:t>
      </w:r>
      <w:proofErr w:type="gramStart"/>
      <w:r w:rsidRPr="003B7D0D">
        <w:rPr>
          <w:rFonts w:ascii="Verdana" w:eastAsia="Times New Roman" w:hAnsi="Verdana" w:cs="Times New Roman"/>
          <w:color w:val="333333"/>
          <w:kern w:val="0"/>
          <w:sz w:val="17"/>
          <w:szCs w:val="17"/>
          <w:bdr w:val="none" w:sz="0" w:space="0" w:color="auto" w:frame="1"/>
          <w14:ligatures w14:val="none"/>
        </w:rPr>
        <w:t>District</w:t>
      </w:r>
      <w:proofErr w:type="gramEnd"/>
      <w:r w:rsidRPr="003B7D0D">
        <w:rPr>
          <w:rFonts w:ascii="Verdana" w:eastAsia="Times New Roman" w:hAnsi="Verdana" w:cs="Times New Roman"/>
          <w:color w:val="333333"/>
          <w:kern w:val="0"/>
          <w:sz w:val="17"/>
          <w:szCs w:val="17"/>
          <w:bdr w:val="none" w:sz="0" w:space="0" w:color="auto" w:frame="1"/>
          <w14:ligatures w14:val="none"/>
        </w:rPr>
        <w:t xml:space="preserve"> shall investigate the allegations in a Formal Complaint, </w:t>
      </w:r>
      <w:r w:rsidRPr="003B7D0D">
        <w:rPr>
          <w:rFonts w:ascii="inherit" w:eastAsia="Times New Roman" w:hAnsi="inherit" w:cs="Times New Roman"/>
          <w:i/>
          <w:iCs/>
          <w:color w:val="333333"/>
          <w:kern w:val="0"/>
          <w:sz w:val="17"/>
          <w:szCs w:val="17"/>
          <w:bdr w:val="none" w:sz="0" w:space="0" w:color="auto" w:frame="1"/>
          <w14:ligatures w14:val="none"/>
        </w:rPr>
        <w:t>unless</w:t>
      </w:r>
      <w:r w:rsidRPr="003B7D0D">
        <w:rPr>
          <w:rFonts w:ascii="Verdana" w:eastAsia="Times New Roman" w:hAnsi="Verdana" w:cs="Times New Roman"/>
          <w:color w:val="333333"/>
          <w:kern w:val="0"/>
          <w:sz w:val="17"/>
          <w:szCs w:val="17"/>
          <w:bdr w:val="none" w:sz="0" w:space="0" w:color="auto" w:frame="1"/>
          <w14:ligatures w14:val="none"/>
        </w:rPr>
        <w:t> the conduct alleged in the Formal Complaint:</w:t>
      </w:r>
      <w:r w:rsidRPr="003B7D0D">
        <w:rPr>
          <w:rFonts w:ascii="Verdana" w:eastAsia="Times New Roman" w:hAnsi="Verdana" w:cs="Times New Roman"/>
          <w:color w:val="333333"/>
          <w:kern w:val="0"/>
          <w:sz w:val="17"/>
          <w:szCs w:val="17"/>
          <w14:ligatures w14:val="none"/>
        </w:rPr>
        <w:br/>
        <w:t> </w:t>
      </w:r>
    </w:p>
    <w:p w14:paraId="21D437EB" w14:textId="77777777" w:rsidR="003B7D0D" w:rsidRPr="003B7D0D" w:rsidRDefault="003B7D0D" w:rsidP="003B7D0D">
      <w:pPr>
        <w:numPr>
          <w:ilvl w:val="0"/>
          <w:numId w:val="14"/>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would not constitute Sexual Harassment (as defined in this policy) even if proved;</w:t>
      </w:r>
      <w:r w:rsidRPr="003B7D0D">
        <w:rPr>
          <w:rFonts w:ascii="Verdana" w:eastAsia="Times New Roman" w:hAnsi="Verdana" w:cs="Times New Roman"/>
          <w:color w:val="333333"/>
          <w:kern w:val="0"/>
          <w:sz w:val="17"/>
          <w:szCs w:val="17"/>
          <w14:ligatures w14:val="none"/>
        </w:rPr>
        <w:br/>
        <w:t> </w:t>
      </w:r>
    </w:p>
    <w:p w14:paraId="6571F37B" w14:textId="77777777" w:rsidR="003B7D0D" w:rsidRPr="003B7D0D" w:rsidRDefault="003B7D0D" w:rsidP="003B7D0D">
      <w:pPr>
        <w:numPr>
          <w:ilvl w:val="0"/>
          <w:numId w:val="14"/>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 xml:space="preserve">did not occur in the </w:t>
      </w:r>
      <w:proofErr w:type="gramStart"/>
      <w:r w:rsidRPr="003B7D0D">
        <w:rPr>
          <w:rFonts w:ascii="Verdana" w:eastAsia="Times New Roman" w:hAnsi="Verdana" w:cs="Times New Roman"/>
          <w:color w:val="333333"/>
          <w:kern w:val="0"/>
          <w:sz w:val="17"/>
          <w:szCs w:val="17"/>
          <w:bdr w:val="none" w:sz="0" w:space="0" w:color="auto" w:frame="1"/>
          <w14:ligatures w14:val="none"/>
        </w:rPr>
        <w:t>District’s</w:t>
      </w:r>
      <w:proofErr w:type="gramEnd"/>
      <w:r w:rsidRPr="003B7D0D">
        <w:rPr>
          <w:rFonts w:ascii="Verdana" w:eastAsia="Times New Roman" w:hAnsi="Verdana" w:cs="Times New Roman"/>
          <w:color w:val="333333"/>
          <w:kern w:val="0"/>
          <w:sz w:val="17"/>
          <w:szCs w:val="17"/>
          <w:bdr w:val="none" w:sz="0" w:space="0" w:color="auto" w:frame="1"/>
          <w14:ligatures w14:val="none"/>
        </w:rPr>
        <w:t xml:space="preserve"> education program or activity; or</w:t>
      </w:r>
      <w:r w:rsidRPr="003B7D0D">
        <w:rPr>
          <w:rFonts w:ascii="Verdana" w:eastAsia="Times New Roman" w:hAnsi="Verdana" w:cs="Times New Roman"/>
          <w:color w:val="333333"/>
          <w:kern w:val="0"/>
          <w:sz w:val="17"/>
          <w:szCs w:val="17"/>
          <w14:ligatures w14:val="none"/>
        </w:rPr>
        <w:br/>
        <w:t> </w:t>
      </w:r>
    </w:p>
    <w:p w14:paraId="5F96AFF7" w14:textId="77777777" w:rsidR="003B7D0D" w:rsidRPr="003B7D0D" w:rsidRDefault="003B7D0D" w:rsidP="003B7D0D">
      <w:pPr>
        <w:numPr>
          <w:ilvl w:val="0"/>
          <w:numId w:val="14"/>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did not occur against a person in the United States.</w:t>
      </w:r>
      <w:r w:rsidRPr="003B7D0D">
        <w:rPr>
          <w:rFonts w:ascii="Verdana" w:eastAsia="Times New Roman" w:hAnsi="Verdana" w:cs="Times New Roman"/>
          <w:color w:val="333333"/>
          <w:kern w:val="0"/>
          <w:sz w:val="17"/>
          <w:szCs w:val="17"/>
          <w14:ligatures w14:val="none"/>
        </w:rPr>
        <w:br/>
        <w:t> </w:t>
      </w:r>
    </w:p>
    <w:p w14:paraId="32E9815B"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If one of the preceding circumstances exist, the Title IX Coordinator </w:t>
      </w:r>
      <w:r w:rsidRPr="003B7D0D">
        <w:rPr>
          <w:rFonts w:ascii="inherit" w:eastAsia="Times New Roman" w:hAnsi="inherit" w:cs="Times New Roman"/>
          <w:i/>
          <w:iCs/>
          <w:color w:val="333333"/>
          <w:kern w:val="0"/>
          <w:sz w:val="17"/>
          <w:szCs w:val="17"/>
          <w:bdr w:val="none" w:sz="0" w:space="0" w:color="auto" w:frame="1"/>
          <w14:ligatures w14:val="none"/>
        </w:rPr>
        <w:t>shall</w:t>
      </w:r>
      <w:r w:rsidRPr="003B7D0D">
        <w:rPr>
          <w:rFonts w:ascii="Verdana" w:eastAsia="Times New Roman" w:hAnsi="Verdana" w:cs="Times New Roman"/>
          <w:color w:val="333333"/>
          <w:kern w:val="0"/>
          <w:sz w:val="17"/>
          <w:szCs w:val="17"/>
          <w:bdr w:val="none" w:sz="0" w:space="0" w:color="auto" w:frame="1"/>
          <w14:ligatures w14:val="none"/>
        </w:rPr>
        <w:t xml:space="preserve"> dismiss the Formal Complaint. If the Title IX Coordinator dismisses the Formal Complaint due to one of the preceding reasons, the </w:t>
      </w:r>
      <w:proofErr w:type="gramStart"/>
      <w:r w:rsidRPr="003B7D0D">
        <w:rPr>
          <w:rFonts w:ascii="Verdana" w:eastAsia="Times New Roman" w:hAnsi="Verdana" w:cs="Times New Roman"/>
          <w:color w:val="333333"/>
          <w:kern w:val="0"/>
          <w:sz w:val="17"/>
          <w:szCs w:val="17"/>
          <w:bdr w:val="none" w:sz="0" w:space="0" w:color="auto" w:frame="1"/>
          <w14:ligatures w14:val="none"/>
        </w:rPr>
        <w:t>District</w:t>
      </w:r>
      <w:proofErr w:type="gramEnd"/>
      <w:r w:rsidRPr="003B7D0D">
        <w:rPr>
          <w:rFonts w:ascii="Verdana" w:eastAsia="Times New Roman" w:hAnsi="Verdana" w:cs="Times New Roman"/>
          <w:color w:val="333333"/>
          <w:kern w:val="0"/>
          <w:sz w:val="17"/>
          <w:szCs w:val="17"/>
          <w:bdr w:val="none" w:sz="0" w:space="0" w:color="auto" w:frame="1"/>
          <w14:ligatures w14:val="none"/>
        </w:rPr>
        <w:t xml:space="preserve"> may still investigate and take action with respect to such alleged misconduct pursuant to another provision of an applicable code of conduct, and/or Board policy.</w:t>
      </w:r>
    </w:p>
    <w:p w14:paraId="431445BE"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7BC46103"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The Title IX Coordinator </w:t>
      </w:r>
      <w:r w:rsidRPr="003B7D0D">
        <w:rPr>
          <w:rFonts w:ascii="inherit" w:eastAsia="Times New Roman" w:hAnsi="inherit" w:cs="Times New Roman"/>
          <w:i/>
          <w:iCs/>
          <w:color w:val="333333"/>
          <w:kern w:val="0"/>
          <w:sz w:val="17"/>
          <w:szCs w:val="17"/>
          <w:bdr w:val="none" w:sz="0" w:space="0" w:color="auto" w:frame="1"/>
          <w14:ligatures w14:val="none"/>
        </w:rPr>
        <w:t>may</w:t>
      </w:r>
      <w:r w:rsidRPr="003B7D0D">
        <w:rPr>
          <w:rFonts w:ascii="Verdana" w:eastAsia="Times New Roman" w:hAnsi="Verdana" w:cs="Times New Roman"/>
          <w:color w:val="333333"/>
          <w:kern w:val="0"/>
          <w:sz w:val="17"/>
          <w:szCs w:val="17"/>
          <w:bdr w:val="none" w:sz="0" w:space="0" w:color="auto" w:frame="1"/>
          <w14:ligatures w14:val="none"/>
        </w:rPr>
        <w:t> dismiss a Formal Complaint, or any allegations therein, if at any time during the investigation:</w:t>
      </w:r>
      <w:r w:rsidRPr="003B7D0D">
        <w:rPr>
          <w:rFonts w:ascii="Verdana" w:eastAsia="Times New Roman" w:hAnsi="Verdana" w:cs="Times New Roman"/>
          <w:color w:val="333333"/>
          <w:kern w:val="0"/>
          <w:sz w:val="17"/>
          <w:szCs w:val="17"/>
          <w14:ligatures w14:val="none"/>
        </w:rPr>
        <w:br/>
        <w:t> </w:t>
      </w:r>
    </w:p>
    <w:p w14:paraId="37CAABDF" w14:textId="77777777" w:rsidR="003B7D0D" w:rsidRPr="003B7D0D" w:rsidRDefault="003B7D0D" w:rsidP="003B7D0D">
      <w:pPr>
        <w:numPr>
          <w:ilvl w:val="0"/>
          <w:numId w:val="15"/>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a Complainant notifies the Title IX Coordinator in writing that the Complainant would like to withdraw the Formal Complaint or any allegations therein;</w:t>
      </w:r>
      <w:r w:rsidRPr="003B7D0D">
        <w:rPr>
          <w:rFonts w:ascii="Verdana" w:eastAsia="Times New Roman" w:hAnsi="Verdana" w:cs="Times New Roman"/>
          <w:color w:val="333333"/>
          <w:kern w:val="0"/>
          <w:sz w:val="17"/>
          <w:szCs w:val="17"/>
          <w14:ligatures w14:val="none"/>
        </w:rPr>
        <w:br/>
        <w:t> </w:t>
      </w:r>
    </w:p>
    <w:p w14:paraId="7530668C" w14:textId="77777777" w:rsidR="003B7D0D" w:rsidRPr="003B7D0D" w:rsidRDefault="003B7D0D" w:rsidP="003B7D0D">
      <w:pPr>
        <w:numPr>
          <w:ilvl w:val="0"/>
          <w:numId w:val="15"/>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 xml:space="preserve">the Respondent is no longer enrolled in the </w:t>
      </w:r>
      <w:proofErr w:type="gramStart"/>
      <w:r w:rsidRPr="003B7D0D">
        <w:rPr>
          <w:rFonts w:ascii="Verdana" w:eastAsia="Times New Roman" w:hAnsi="Verdana" w:cs="Times New Roman"/>
          <w:color w:val="333333"/>
          <w:kern w:val="0"/>
          <w:sz w:val="17"/>
          <w:szCs w:val="17"/>
          <w:bdr w:val="none" w:sz="0" w:space="0" w:color="auto" w:frame="1"/>
          <w14:ligatures w14:val="none"/>
        </w:rPr>
        <w:t>District</w:t>
      </w:r>
      <w:proofErr w:type="gramEnd"/>
      <w:r w:rsidRPr="003B7D0D">
        <w:rPr>
          <w:rFonts w:ascii="Verdana" w:eastAsia="Times New Roman" w:hAnsi="Verdana" w:cs="Times New Roman"/>
          <w:color w:val="333333"/>
          <w:kern w:val="0"/>
          <w:sz w:val="17"/>
          <w:szCs w:val="17"/>
          <w:bdr w:val="none" w:sz="0" w:space="0" w:color="auto" w:frame="1"/>
          <w14:ligatures w14:val="none"/>
        </w:rPr>
        <w:t xml:space="preserve"> or employed by the Board; or</w:t>
      </w:r>
      <w:r w:rsidRPr="003B7D0D">
        <w:rPr>
          <w:rFonts w:ascii="Verdana" w:eastAsia="Times New Roman" w:hAnsi="Verdana" w:cs="Times New Roman"/>
          <w:color w:val="333333"/>
          <w:kern w:val="0"/>
          <w:sz w:val="17"/>
          <w:szCs w:val="17"/>
          <w14:ligatures w14:val="none"/>
        </w:rPr>
        <w:br/>
        <w:t> </w:t>
      </w:r>
    </w:p>
    <w:p w14:paraId="5CDAEF36" w14:textId="77777777" w:rsidR="003B7D0D" w:rsidRPr="003B7D0D" w:rsidRDefault="003B7D0D" w:rsidP="003B7D0D">
      <w:pPr>
        <w:numPr>
          <w:ilvl w:val="0"/>
          <w:numId w:val="15"/>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 xml:space="preserve">specific circumstances prevent the </w:t>
      </w:r>
      <w:proofErr w:type="gramStart"/>
      <w:r w:rsidRPr="003B7D0D">
        <w:rPr>
          <w:rFonts w:ascii="Verdana" w:eastAsia="Times New Roman" w:hAnsi="Verdana" w:cs="Times New Roman"/>
          <w:color w:val="333333"/>
          <w:kern w:val="0"/>
          <w:sz w:val="17"/>
          <w:szCs w:val="17"/>
          <w:bdr w:val="none" w:sz="0" w:space="0" w:color="auto" w:frame="1"/>
          <w14:ligatures w14:val="none"/>
        </w:rPr>
        <w:t>District</w:t>
      </w:r>
      <w:proofErr w:type="gramEnd"/>
      <w:r w:rsidRPr="003B7D0D">
        <w:rPr>
          <w:rFonts w:ascii="Verdana" w:eastAsia="Times New Roman" w:hAnsi="Verdana" w:cs="Times New Roman"/>
          <w:color w:val="333333"/>
          <w:kern w:val="0"/>
          <w:sz w:val="17"/>
          <w:szCs w:val="17"/>
          <w:bdr w:val="none" w:sz="0" w:space="0" w:color="auto" w:frame="1"/>
          <w14:ligatures w14:val="none"/>
        </w:rPr>
        <w:t xml:space="preserve"> from gathering evidence sufficient to reach a determination as to the Formal Complaint or allegations therein.</w:t>
      </w:r>
      <w:r w:rsidRPr="003B7D0D">
        <w:rPr>
          <w:rFonts w:ascii="Verdana" w:eastAsia="Times New Roman" w:hAnsi="Verdana" w:cs="Times New Roman"/>
          <w:color w:val="333333"/>
          <w:kern w:val="0"/>
          <w:sz w:val="17"/>
          <w:szCs w:val="17"/>
          <w14:ligatures w14:val="none"/>
        </w:rPr>
        <w:br/>
        <w:t> </w:t>
      </w:r>
    </w:p>
    <w:p w14:paraId="5617C940"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If the Title IX Coordinator dismisses a Formal Complaint or allegations therein, the Title IX Coordinator must promptly send written notice of the dismissal and the reason(s) therefor simultaneously to the parties.</w:t>
      </w:r>
    </w:p>
    <w:p w14:paraId="699085E6"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686DA6BD"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inherit" w:eastAsia="Times New Roman" w:hAnsi="inherit" w:cs="Times New Roman"/>
          <w:b/>
          <w:bCs/>
          <w:color w:val="333333"/>
          <w:kern w:val="0"/>
          <w:sz w:val="17"/>
          <w:szCs w:val="17"/>
          <w:bdr w:val="none" w:sz="0" w:space="0" w:color="auto" w:frame="1"/>
          <w14:ligatures w14:val="none"/>
        </w:rPr>
        <w:t>Consolidation of Formal Complaints</w:t>
      </w:r>
    </w:p>
    <w:p w14:paraId="51A286DD"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631C9CD5"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The Title IX Coordinator may consolidate Formal Complaints as to allegations of Sexual Harassment against more than one Respondent, or by more than one Complainant against one or more Respondents, or by one party against the other party, where the allegations of Sexual Harassment arise out of the same facts or circumstances.</w:t>
      </w:r>
    </w:p>
    <w:p w14:paraId="5BB97B55"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75BD518E"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Where a grievance process involves more than one Complainant or more than one Respondent, references in this policy to the singular ‘‘party,’’ ‘‘Complainant,’’ or ‘‘Respondent’’ include the plural, as applicable.</w:t>
      </w:r>
    </w:p>
    <w:p w14:paraId="7AEEA114"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2FA67D12"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inherit" w:eastAsia="Times New Roman" w:hAnsi="inherit" w:cs="Times New Roman"/>
          <w:b/>
          <w:bCs/>
          <w:color w:val="333333"/>
          <w:kern w:val="0"/>
          <w:sz w:val="17"/>
          <w:szCs w:val="17"/>
          <w:bdr w:val="none" w:sz="0" w:space="0" w:color="auto" w:frame="1"/>
          <w14:ligatures w14:val="none"/>
        </w:rPr>
        <w:t>Informal Resolution Process</w:t>
      </w:r>
    </w:p>
    <w:p w14:paraId="2118D84F"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512F0E16"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Under no circumstances shall a Complainant be required as a condition of enrollment or continuing enrollment, or employment or continuing employment, or enjoyment of any other right, to waive any right to an investigation and adjudication of a Formal Complaint of Sexual Harassment. Similarly, no party shall be required to participate in an informal resolution process.</w:t>
      </w:r>
    </w:p>
    <w:p w14:paraId="153C5576"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46A73FD2"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lastRenderedPageBreak/>
        <w:t>If a Formal Complaint is filed, the Title IX Coordinator may offer to the parties an informal resolution process. If the parties mutually agree to participate in the informal resolution process, the Title IX Coordinator shall designate a trained individual to facilitate an informal resolution process, such as mediation, that does not involve a full investigation and adjudication. The informal resolution process may be used at any time prior to the decision-maker(s) reaching a determination regarding responsibility.</w:t>
      </w:r>
    </w:p>
    <w:p w14:paraId="19483EB9"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039AF41C"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If the Title IX Coordinator is going to propose an informal resolution process, the Title IX Coordinator shall provide to the parties a written notice disclosing:</w:t>
      </w:r>
      <w:r w:rsidRPr="003B7D0D">
        <w:rPr>
          <w:rFonts w:ascii="Verdana" w:eastAsia="Times New Roman" w:hAnsi="Verdana" w:cs="Times New Roman"/>
          <w:color w:val="333333"/>
          <w:kern w:val="0"/>
          <w:sz w:val="17"/>
          <w:szCs w:val="17"/>
          <w14:ligatures w14:val="none"/>
        </w:rPr>
        <w:br/>
        <w:t> </w:t>
      </w:r>
    </w:p>
    <w:p w14:paraId="6A9392C9" w14:textId="77777777" w:rsidR="003B7D0D" w:rsidRPr="003B7D0D" w:rsidRDefault="003B7D0D" w:rsidP="003B7D0D">
      <w:pPr>
        <w:numPr>
          <w:ilvl w:val="0"/>
          <w:numId w:val="16"/>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the allegations;</w:t>
      </w:r>
      <w:r w:rsidRPr="003B7D0D">
        <w:rPr>
          <w:rFonts w:ascii="Verdana" w:eastAsia="Times New Roman" w:hAnsi="Verdana" w:cs="Times New Roman"/>
          <w:color w:val="333333"/>
          <w:kern w:val="0"/>
          <w:sz w:val="17"/>
          <w:szCs w:val="17"/>
          <w14:ligatures w14:val="none"/>
        </w:rPr>
        <w:br/>
        <w:t> </w:t>
      </w:r>
    </w:p>
    <w:p w14:paraId="3A732733" w14:textId="77777777" w:rsidR="003B7D0D" w:rsidRPr="003B7D0D" w:rsidRDefault="003B7D0D" w:rsidP="003B7D0D">
      <w:pPr>
        <w:numPr>
          <w:ilvl w:val="0"/>
          <w:numId w:val="16"/>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the requirements of the informal resolution process including the circumstances under which it precludes the parties from resuming a Formal Complaint arising from the same allegations; and</w:t>
      </w:r>
      <w:r w:rsidRPr="003B7D0D">
        <w:rPr>
          <w:rFonts w:ascii="Verdana" w:eastAsia="Times New Roman" w:hAnsi="Verdana" w:cs="Times New Roman"/>
          <w:color w:val="333333"/>
          <w:kern w:val="0"/>
          <w:sz w:val="17"/>
          <w:szCs w:val="17"/>
          <w14:ligatures w14:val="none"/>
        </w:rPr>
        <w:br/>
        <w:t> </w:t>
      </w:r>
    </w:p>
    <w:p w14:paraId="6EB3A4DE" w14:textId="77777777" w:rsidR="003B7D0D" w:rsidRPr="003B7D0D" w:rsidRDefault="003B7D0D" w:rsidP="003B7D0D">
      <w:pPr>
        <w:numPr>
          <w:ilvl w:val="0"/>
          <w:numId w:val="16"/>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any consequences resulting from participating in the informal resolution process, including the records that will be maintained or could be shared.</w:t>
      </w:r>
      <w:r w:rsidRPr="003B7D0D">
        <w:rPr>
          <w:rFonts w:ascii="Verdana" w:eastAsia="Times New Roman" w:hAnsi="Verdana" w:cs="Times New Roman"/>
          <w:color w:val="333333"/>
          <w:kern w:val="0"/>
          <w:sz w:val="17"/>
          <w:szCs w:val="17"/>
          <w14:ligatures w14:val="none"/>
        </w:rPr>
        <w:br/>
        <w:t> </w:t>
      </w:r>
    </w:p>
    <w:p w14:paraId="7CC8D494"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Any time prior to agreeing to a resolution, any party has the right to withdraw from the informal resolution process and resume the grievance process with respect to the Formal Complaint.</w:t>
      </w:r>
    </w:p>
    <w:p w14:paraId="3F901C64"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169DEE17"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Before commencing the informal resolution process, the Title IX Coordinator shall obtain from the parties their voluntary, written consent to the informal resolution process.</w:t>
      </w:r>
    </w:p>
    <w:p w14:paraId="43C39FF4"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42DC24F0"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During the pendency of the informal resolution process, the investigation and adjudication processes that would otherwise occur have stayed and all related deadlines are suspended.</w:t>
      </w:r>
    </w:p>
    <w:p w14:paraId="1281E81A"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1CB1E9EA"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The informal resolution process is not available to resolve allegations that a Board employee or another adult member of the School District community or Third Party sexually harassed a student.</w:t>
      </w:r>
    </w:p>
    <w:p w14:paraId="70677FE2"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4DA2050D"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inherit" w:eastAsia="Times New Roman" w:hAnsi="inherit" w:cs="Times New Roman"/>
          <w:b/>
          <w:bCs/>
          <w:color w:val="333333"/>
          <w:kern w:val="0"/>
          <w:sz w:val="17"/>
          <w:szCs w:val="17"/>
          <w:bdr w:val="none" w:sz="0" w:space="0" w:color="auto" w:frame="1"/>
          <w14:ligatures w14:val="none"/>
        </w:rPr>
        <w:t>Investigation of a Formal Complaint of Sexual Harassment</w:t>
      </w:r>
    </w:p>
    <w:p w14:paraId="5BA8989D"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6DF3B784"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 xml:space="preserve">In conducting the investigation of a Formal Complaint and throughout the grievance process, the burden of proof and the burden of gathering evidence sufficient to reach a determination regarding responsibility is on the </w:t>
      </w:r>
      <w:proofErr w:type="gramStart"/>
      <w:r w:rsidRPr="003B7D0D">
        <w:rPr>
          <w:rFonts w:ascii="Verdana" w:eastAsia="Times New Roman" w:hAnsi="Verdana" w:cs="Times New Roman"/>
          <w:color w:val="333333"/>
          <w:kern w:val="0"/>
          <w:sz w:val="17"/>
          <w:szCs w:val="17"/>
          <w:bdr w:val="none" w:sz="0" w:space="0" w:color="auto" w:frame="1"/>
          <w14:ligatures w14:val="none"/>
        </w:rPr>
        <w:t>District</w:t>
      </w:r>
      <w:proofErr w:type="gramEnd"/>
      <w:r w:rsidRPr="003B7D0D">
        <w:rPr>
          <w:rFonts w:ascii="Verdana" w:eastAsia="Times New Roman" w:hAnsi="Verdana" w:cs="Times New Roman"/>
          <w:color w:val="333333"/>
          <w:kern w:val="0"/>
          <w:sz w:val="17"/>
          <w:szCs w:val="17"/>
          <w:bdr w:val="none" w:sz="0" w:space="0" w:color="auto" w:frame="1"/>
          <w14:ligatures w14:val="none"/>
        </w:rPr>
        <w:t>, not the parties.</w:t>
      </w:r>
    </w:p>
    <w:p w14:paraId="39D44627"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1F94221B"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In making the determination of responsibility, the decision-maker(s) is(are) directed to use the preponderance of the evidence standard. The decision-maker(s) is charged with considering the totality of all available evidence, from all relevant sources.</w:t>
      </w:r>
    </w:p>
    <w:p w14:paraId="10ED3AC8"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77F4BD61"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The District is not permitted to access, consider, disclose, or otherwise use a party’s records that are made or maintained by a physician, psychiatrist, psychologist, or other recognized professional or paraprofessional acting in the professional’s or paraprofessional’s capacity, or assisting in that capacity, and which are made and maintained in connection with the provision of treatment to the party, unless the party provides the District with voluntary, written consent to do so; if a student party is not an Eligible Student, the District must obtain the voluntary, written consent of a parent.</w:t>
      </w:r>
    </w:p>
    <w:p w14:paraId="03123152"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6BFACCA9"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Similarly, the investigator(s) and decision-maker(s) may not require, allow, rely upon or otherwise use questions or evidence that constitute, or seek disclosure of, information protected under a legally recognized privilege, unless the person holding such privilege has waived the privilege in writing.</w:t>
      </w:r>
    </w:p>
    <w:p w14:paraId="0F8A603E"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4A9AE3D8"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As part of the investigation, the parties have the right to:</w:t>
      </w:r>
      <w:r w:rsidRPr="003B7D0D">
        <w:rPr>
          <w:rFonts w:ascii="Verdana" w:eastAsia="Times New Roman" w:hAnsi="Verdana" w:cs="Times New Roman"/>
          <w:color w:val="333333"/>
          <w:kern w:val="0"/>
          <w:sz w:val="17"/>
          <w:szCs w:val="17"/>
          <w14:ligatures w14:val="none"/>
        </w:rPr>
        <w:br/>
        <w:t> </w:t>
      </w:r>
    </w:p>
    <w:p w14:paraId="3323AD96" w14:textId="77777777" w:rsidR="003B7D0D" w:rsidRPr="003B7D0D" w:rsidRDefault="003B7D0D" w:rsidP="003B7D0D">
      <w:pPr>
        <w:numPr>
          <w:ilvl w:val="0"/>
          <w:numId w:val="17"/>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present witnesses, including fact and expert witnesses, and other inculpatory and exculpatory evidence; and</w:t>
      </w:r>
      <w:r w:rsidRPr="003B7D0D">
        <w:rPr>
          <w:rFonts w:ascii="Verdana" w:eastAsia="Times New Roman" w:hAnsi="Verdana" w:cs="Times New Roman"/>
          <w:color w:val="333333"/>
          <w:kern w:val="0"/>
          <w:sz w:val="17"/>
          <w:szCs w:val="17"/>
          <w14:ligatures w14:val="none"/>
        </w:rPr>
        <w:br/>
        <w:t> </w:t>
      </w:r>
    </w:p>
    <w:p w14:paraId="7AC71E58" w14:textId="77777777" w:rsidR="003B7D0D" w:rsidRPr="003B7D0D" w:rsidRDefault="003B7D0D" w:rsidP="003B7D0D">
      <w:pPr>
        <w:numPr>
          <w:ilvl w:val="0"/>
          <w:numId w:val="17"/>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 xml:space="preserve">have others present during any grievance proceeding, including the opportunity to be accompanied to any related meeting or proceeding by the advisor of their choice, who may be, but is not required to be, an attorney. The </w:t>
      </w:r>
      <w:proofErr w:type="gramStart"/>
      <w:r w:rsidRPr="003B7D0D">
        <w:rPr>
          <w:rFonts w:ascii="Verdana" w:eastAsia="Times New Roman" w:hAnsi="Verdana" w:cs="Times New Roman"/>
          <w:color w:val="333333"/>
          <w:kern w:val="0"/>
          <w:sz w:val="17"/>
          <w:szCs w:val="17"/>
          <w:bdr w:val="none" w:sz="0" w:space="0" w:color="auto" w:frame="1"/>
          <w14:ligatures w14:val="none"/>
        </w:rPr>
        <w:t>District</w:t>
      </w:r>
      <w:proofErr w:type="gramEnd"/>
      <w:r w:rsidRPr="003B7D0D">
        <w:rPr>
          <w:rFonts w:ascii="Verdana" w:eastAsia="Times New Roman" w:hAnsi="Verdana" w:cs="Times New Roman"/>
          <w:color w:val="333333"/>
          <w:kern w:val="0"/>
          <w:sz w:val="17"/>
          <w:szCs w:val="17"/>
          <w:bdr w:val="none" w:sz="0" w:space="0" w:color="auto" w:frame="1"/>
          <w14:ligatures w14:val="none"/>
        </w:rPr>
        <w:t xml:space="preserve"> may not limit the choice or presence of an advisor for either the </w:t>
      </w:r>
      <w:r w:rsidRPr="003B7D0D">
        <w:rPr>
          <w:rFonts w:ascii="Verdana" w:eastAsia="Times New Roman" w:hAnsi="Verdana" w:cs="Times New Roman"/>
          <w:color w:val="333333"/>
          <w:kern w:val="0"/>
          <w:sz w:val="17"/>
          <w:szCs w:val="17"/>
          <w:bdr w:val="none" w:sz="0" w:space="0" w:color="auto" w:frame="1"/>
          <w14:ligatures w14:val="none"/>
        </w:rPr>
        <w:lastRenderedPageBreak/>
        <w:t>Complainant or Respondent in any meeting or grievance proceeding.</w:t>
      </w:r>
      <w:r w:rsidRPr="003B7D0D">
        <w:rPr>
          <w:rFonts w:ascii="Verdana" w:eastAsia="Times New Roman" w:hAnsi="Verdana" w:cs="Times New Roman"/>
          <w:color w:val="333333"/>
          <w:kern w:val="0"/>
          <w:sz w:val="17"/>
          <w:szCs w:val="17"/>
          <w:bdr w:val="none" w:sz="0" w:space="0" w:color="auto" w:frame="1"/>
          <w14:ligatures w14:val="none"/>
        </w:rPr>
        <w:br/>
      </w:r>
      <w:r w:rsidRPr="003B7D0D">
        <w:rPr>
          <w:rFonts w:ascii="Verdana" w:eastAsia="Times New Roman" w:hAnsi="Verdana" w:cs="Times New Roman"/>
          <w:color w:val="333333"/>
          <w:kern w:val="0"/>
          <w:sz w:val="17"/>
          <w:szCs w:val="17"/>
          <w:bdr w:val="none" w:sz="0" w:space="0" w:color="auto" w:frame="1"/>
          <w14:ligatures w14:val="none"/>
        </w:rPr>
        <w:br/>
        <w:t>The District may establish restrictions, which apply equally to both parties, regarding the extent to which an advisor may participate in the proceedings.</w:t>
      </w:r>
      <w:r w:rsidRPr="003B7D0D">
        <w:rPr>
          <w:rFonts w:ascii="Verdana" w:eastAsia="Times New Roman" w:hAnsi="Verdana" w:cs="Times New Roman"/>
          <w:color w:val="333333"/>
          <w:kern w:val="0"/>
          <w:sz w:val="17"/>
          <w:szCs w:val="17"/>
          <w14:ligatures w14:val="none"/>
        </w:rPr>
        <w:br/>
        <w:t> </w:t>
      </w:r>
    </w:p>
    <w:p w14:paraId="43E4016B"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Neither party shall be restricted in their ability to discuss the allegations under investigation or to gather and present relevant evidence.</w:t>
      </w:r>
    </w:p>
    <w:p w14:paraId="1D172BA2"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1CF19D73"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 xml:space="preserve">The </w:t>
      </w:r>
      <w:proofErr w:type="gramStart"/>
      <w:r w:rsidRPr="003B7D0D">
        <w:rPr>
          <w:rFonts w:ascii="Verdana" w:eastAsia="Times New Roman" w:hAnsi="Verdana" w:cs="Times New Roman"/>
          <w:color w:val="333333"/>
          <w:kern w:val="0"/>
          <w:sz w:val="17"/>
          <w:szCs w:val="17"/>
          <w:bdr w:val="none" w:sz="0" w:space="0" w:color="auto" w:frame="1"/>
          <w14:ligatures w14:val="none"/>
        </w:rPr>
        <w:t>District</w:t>
      </w:r>
      <w:proofErr w:type="gramEnd"/>
      <w:r w:rsidRPr="003B7D0D">
        <w:rPr>
          <w:rFonts w:ascii="Verdana" w:eastAsia="Times New Roman" w:hAnsi="Verdana" w:cs="Times New Roman"/>
          <w:color w:val="333333"/>
          <w:kern w:val="0"/>
          <w:sz w:val="17"/>
          <w:szCs w:val="17"/>
          <w:bdr w:val="none" w:sz="0" w:space="0" w:color="auto" w:frame="1"/>
          <w14:ligatures w14:val="none"/>
        </w:rPr>
        <w:t xml:space="preserve"> will provide to a party whose participation is invited or expected written notice of the date, time, location, participants, and purpose of all investigative interviews, or other meetings, with sufficient time for the party to prepare to participate. The investigator(s) and decision-maker(s) must provide a minimum of two (2) days’ notice with respect to investigative interviews and other meetings</w:t>
      </w:r>
    </w:p>
    <w:p w14:paraId="7C321612"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2885B3D1"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Both parties shall have an equal opportunity to inspect and review any evidence obtained as part of the investigation that is directly related to the allegations raised in the Formal Complaint, including the evidence upon which the District does not intend to rely in reaching a determination regarding responsibility and inculpatory or exculpatory evidence whether obtained from a party or other source, so that each party can meaningfully respond to the evidence prior to the conclusion of the investigation.</w:t>
      </w:r>
    </w:p>
    <w:p w14:paraId="2C501565"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17518D93"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Prior to completion of the investigative report, the Title IX Coordinator will send to each party and the party’s advisor, if any, the evidence subject to inspection and review in an electronic format or a hard copy, and the parties will have at least ten (10) calendar days to submit a written response, which the investigator will consider prior to completion of the investigative report.</w:t>
      </w:r>
    </w:p>
    <w:p w14:paraId="2EB0F7A0"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561889F1"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At the conclusion of the investigation, the investigator shall create an investigative report that fairly summarizes relevant evidence and send the report to each party and the party’s advisor, if any, for their review and written response. The investigator will send the investigative report in an electronic format or a hard copy, at least ten (10) calendar days prior to the decision-maker(s) issuing a determination regarding responsibility.</w:t>
      </w:r>
    </w:p>
    <w:p w14:paraId="0670D412"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31847122"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inherit" w:eastAsia="Times New Roman" w:hAnsi="inherit" w:cs="Times New Roman"/>
          <w:b/>
          <w:bCs/>
          <w:color w:val="333333"/>
          <w:kern w:val="0"/>
          <w:sz w:val="17"/>
          <w:szCs w:val="17"/>
          <w:bdr w:val="none" w:sz="0" w:space="0" w:color="auto" w:frame="1"/>
          <w14:ligatures w14:val="none"/>
        </w:rPr>
        <w:t>Determination of Responsibility</w:t>
      </w:r>
    </w:p>
    <w:p w14:paraId="40F500D7"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122E09A1"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The Title IX Administrator shall act as decision-maker and shall issue a determination of responsibility.</w:t>
      </w:r>
    </w:p>
    <w:p w14:paraId="0B3430F2"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6C466404"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After the investigator sends the investigative report to the parties and the decision-maker(s), and before the decision-maker(s) reaches a determination regarding responsibility, the decision-maker(s) will afford each party the opportunity to submit written, relevant questions that a party wants asked of any party or witness, provide each party with the answers, and allow for additional, limited follow-up questions from each party.  The decision-maker(s) must explain to the party proposing the questions any decision to exclude a question as not relevant.</w:t>
      </w:r>
    </w:p>
    <w:p w14:paraId="6377DED1"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08ABF163"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Questions and evidence about the Complainant’s sexual predisposition or prior sexual behavior are not relevant, unless such questions and evidence about the Complainant’s prior sexual behavior are offered to prove that someone other than the Respondent committed the conduct alleged by the Complainant, or if the questions and evidence concern specific incidents of the Complainant’s prior sexual behavior with respect to the Respondent and are offered to prove consent. The decision-maker(s) must explain to the party proposing the questions any decision to exclude a question as not relevant.</w:t>
      </w:r>
    </w:p>
    <w:p w14:paraId="4758274D"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1BE881A0"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inherit" w:eastAsia="Times New Roman" w:hAnsi="inherit" w:cs="Times New Roman"/>
          <w:b/>
          <w:bCs/>
          <w:color w:val="333333"/>
          <w:kern w:val="0"/>
          <w:sz w:val="17"/>
          <w:szCs w:val="17"/>
          <w:bdr w:val="none" w:sz="0" w:space="0" w:color="auto" w:frame="1"/>
          <w14:ligatures w14:val="none"/>
        </w:rPr>
        <w:t>Determination regarding responsibility:</w:t>
      </w:r>
      <w:r w:rsidRPr="003B7D0D">
        <w:rPr>
          <w:rFonts w:ascii="inherit" w:eastAsia="Times New Roman" w:hAnsi="inherit" w:cs="Times New Roman"/>
          <w:b/>
          <w:bCs/>
          <w:i/>
          <w:iCs/>
          <w:color w:val="333333"/>
          <w:kern w:val="0"/>
          <w:sz w:val="17"/>
          <w:szCs w:val="17"/>
          <w:bdr w:val="none" w:sz="0" w:space="0" w:color="auto" w:frame="1"/>
          <w14:ligatures w14:val="none"/>
        </w:rPr>
        <w:t> </w:t>
      </w:r>
      <w:r w:rsidRPr="003B7D0D">
        <w:rPr>
          <w:rFonts w:ascii="Verdana" w:eastAsia="Times New Roman" w:hAnsi="Verdana" w:cs="Times New Roman"/>
          <w:color w:val="333333"/>
          <w:kern w:val="0"/>
          <w:sz w:val="17"/>
          <w:szCs w:val="17"/>
          <w:bdr w:val="none" w:sz="0" w:space="0" w:color="auto" w:frame="1"/>
          <w14:ligatures w14:val="none"/>
        </w:rPr>
        <w:t>The decision-maker(s) will issue a written determination regarding responsibility. To reach this determination, the decision-maker(s) must apply the preponderance of the evidence standard</w:t>
      </w:r>
    </w:p>
    <w:p w14:paraId="41C1A9FF"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3DA3716E"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The written determination will include the following content:</w:t>
      </w:r>
      <w:r w:rsidRPr="003B7D0D">
        <w:rPr>
          <w:rFonts w:ascii="Verdana" w:eastAsia="Times New Roman" w:hAnsi="Verdana" w:cs="Times New Roman"/>
          <w:color w:val="333333"/>
          <w:kern w:val="0"/>
          <w:sz w:val="17"/>
          <w:szCs w:val="17"/>
          <w14:ligatures w14:val="none"/>
        </w:rPr>
        <w:br/>
        <w:t> </w:t>
      </w:r>
    </w:p>
    <w:p w14:paraId="424361FA" w14:textId="77777777" w:rsidR="003B7D0D" w:rsidRPr="003B7D0D" w:rsidRDefault="003B7D0D" w:rsidP="003B7D0D">
      <w:pPr>
        <w:numPr>
          <w:ilvl w:val="0"/>
          <w:numId w:val="18"/>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Identification of the allegations potentially constituting Sexual Harassment pursuant to this policy;</w:t>
      </w:r>
      <w:r w:rsidRPr="003B7D0D">
        <w:rPr>
          <w:rFonts w:ascii="Verdana" w:eastAsia="Times New Roman" w:hAnsi="Verdana" w:cs="Times New Roman"/>
          <w:color w:val="333333"/>
          <w:kern w:val="0"/>
          <w:sz w:val="17"/>
          <w:szCs w:val="17"/>
          <w14:ligatures w14:val="none"/>
        </w:rPr>
        <w:br/>
        <w:t> </w:t>
      </w:r>
    </w:p>
    <w:p w14:paraId="2E128592" w14:textId="77777777" w:rsidR="003B7D0D" w:rsidRPr="003B7D0D" w:rsidRDefault="003B7D0D" w:rsidP="003B7D0D">
      <w:pPr>
        <w:numPr>
          <w:ilvl w:val="0"/>
          <w:numId w:val="18"/>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A description of the procedural steps taken from the receipt of the Formal Complaint through the determination, including any notifications to the parties, interviews with parties and witnesses, site visits, [and] methods used to gather other evidence,</w:t>
      </w:r>
      <w:r w:rsidRPr="003B7D0D">
        <w:rPr>
          <w:rFonts w:ascii="Verdana" w:eastAsia="Times New Roman" w:hAnsi="Verdana" w:cs="Times New Roman"/>
          <w:color w:val="333333"/>
          <w:kern w:val="0"/>
          <w:sz w:val="17"/>
          <w:szCs w:val="17"/>
          <w14:ligatures w14:val="none"/>
        </w:rPr>
        <w:br/>
        <w:t> </w:t>
      </w:r>
    </w:p>
    <w:p w14:paraId="179AEC09" w14:textId="77777777" w:rsidR="003B7D0D" w:rsidRPr="003B7D0D" w:rsidRDefault="003B7D0D" w:rsidP="003B7D0D">
      <w:pPr>
        <w:numPr>
          <w:ilvl w:val="0"/>
          <w:numId w:val="18"/>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lastRenderedPageBreak/>
        <w:t>Findings of fact supporting the determination;</w:t>
      </w:r>
      <w:r w:rsidRPr="003B7D0D">
        <w:rPr>
          <w:rFonts w:ascii="Verdana" w:eastAsia="Times New Roman" w:hAnsi="Verdana" w:cs="Times New Roman"/>
          <w:color w:val="333333"/>
          <w:kern w:val="0"/>
          <w:sz w:val="17"/>
          <w:szCs w:val="17"/>
          <w14:ligatures w14:val="none"/>
        </w:rPr>
        <w:br/>
        <w:t> </w:t>
      </w:r>
    </w:p>
    <w:p w14:paraId="2D5DDF60" w14:textId="77777777" w:rsidR="003B7D0D" w:rsidRPr="003B7D0D" w:rsidRDefault="003B7D0D" w:rsidP="003B7D0D">
      <w:pPr>
        <w:numPr>
          <w:ilvl w:val="0"/>
          <w:numId w:val="18"/>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Conclusions regarding the application of the applicable code of conduct to the facts;</w:t>
      </w:r>
      <w:r w:rsidRPr="003B7D0D">
        <w:rPr>
          <w:rFonts w:ascii="Verdana" w:eastAsia="Times New Roman" w:hAnsi="Verdana" w:cs="Times New Roman"/>
          <w:color w:val="333333"/>
          <w:kern w:val="0"/>
          <w:sz w:val="17"/>
          <w:szCs w:val="17"/>
          <w14:ligatures w14:val="none"/>
        </w:rPr>
        <w:br/>
        <w:t> </w:t>
      </w:r>
    </w:p>
    <w:p w14:paraId="054F3202" w14:textId="77777777" w:rsidR="003B7D0D" w:rsidRPr="003B7D0D" w:rsidRDefault="003B7D0D" w:rsidP="003B7D0D">
      <w:pPr>
        <w:numPr>
          <w:ilvl w:val="0"/>
          <w:numId w:val="18"/>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A statement of, and rationale for, the result as to each allegation, including a determination regarding responsibility, any disciplinary sanctions the decision-maker(s) is recommending that the District impose on the Respondent(s), and whether remedies designed to restore or preserve equal access to the District’s education program or activity should be provided by the District to the Complainant(s); and</w:t>
      </w:r>
      <w:r w:rsidRPr="003B7D0D">
        <w:rPr>
          <w:rFonts w:ascii="Verdana" w:eastAsia="Times New Roman" w:hAnsi="Verdana" w:cs="Times New Roman"/>
          <w:color w:val="333333"/>
          <w:kern w:val="0"/>
          <w:sz w:val="17"/>
          <w:szCs w:val="17"/>
          <w14:ligatures w14:val="none"/>
        </w:rPr>
        <w:br/>
        <w:t> </w:t>
      </w:r>
    </w:p>
    <w:p w14:paraId="4A3E18D2" w14:textId="77777777" w:rsidR="003B7D0D" w:rsidRPr="003B7D0D" w:rsidRDefault="003B7D0D" w:rsidP="003B7D0D">
      <w:pPr>
        <w:numPr>
          <w:ilvl w:val="0"/>
          <w:numId w:val="18"/>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The procedures and permissible bases for the Complainant(s) and Respondent(s) to appeal.</w:t>
      </w:r>
      <w:r w:rsidRPr="003B7D0D">
        <w:rPr>
          <w:rFonts w:ascii="Verdana" w:eastAsia="Times New Roman" w:hAnsi="Verdana" w:cs="Times New Roman"/>
          <w:color w:val="333333"/>
          <w:kern w:val="0"/>
          <w:sz w:val="17"/>
          <w:szCs w:val="17"/>
          <w14:ligatures w14:val="none"/>
        </w:rPr>
        <w:br/>
        <w:t> </w:t>
      </w:r>
    </w:p>
    <w:p w14:paraId="4B4AFC91"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Any sanction authorized by the Student Code of Conduct may be imposed on a student Respondent who is determined responsible for violating this policy (i.e., engaging in Sexual Harassment).</w:t>
      </w:r>
    </w:p>
    <w:p w14:paraId="16C81D12"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160FFF94"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If the decision-maker(s) determines the student Respondent is responsible for violating this policy (i.e., engaging in Sexual Harassment), the decision-maker(s) will recommend appropriate remedies, including disciplinary sanctions/consequences. The Title IX Coordinator will notify the Superintendent of the recommended remedies, so an authorized administrator can consider the recommendation(s) and implement an appropriate remedy(</w:t>
      </w:r>
      <w:proofErr w:type="spellStart"/>
      <w:r w:rsidRPr="003B7D0D">
        <w:rPr>
          <w:rFonts w:ascii="Verdana" w:eastAsia="Times New Roman" w:hAnsi="Verdana" w:cs="Times New Roman"/>
          <w:color w:val="333333"/>
          <w:kern w:val="0"/>
          <w:sz w:val="17"/>
          <w:szCs w:val="17"/>
          <w:bdr w:val="none" w:sz="0" w:space="0" w:color="auto" w:frame="1"/>
          <w14:ligatures w14:val="none"/>
        </w:rPr>
        <w:t>ies</w:t>
      </w:r>
      <w:proofErr w:type="spellEnd"/>
      <w:r w:rsidRPr="003B7D0D">
        <w:rPr>
          <w:rFonts w:ascii="Verdana" w:eastAsia="Times New Roman" w:hAnsi="Verdana" w:cs="Times New Roman"/>
          <w:color w:val="333333"/>
          <w:kern w:val="0"/>
          <w:sz w:val="17"/>
          <w:szCs w:val="17"/>
          <w:bdr w:val="none" w:sz="0" w:space="0" w:color="auto" w:frame="1"/>
          <w14:ligatures w14:val="none"/>
        </w:rPr>
        <w:t>) in compliance with applicable Board Policies.</w:t>
      </w:r>
    </w:p>
    <w:p w14:paraId="7ECC818A"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069294DB"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If the decision-maker(s) determines the employee Respondent is responsible for violating this policy (i.e., engaging in Sexual Harassment), the decision-maker(s) will recommend appropriate remedies to the Superintendent, including disciplinary consequences up to and including termination.</w:t>
      </w:r>
    </w:p>
    <w:p w14:paraId="406543A4"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07E0B942"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Discipline of an employee will be implemented in accordance with Federal and State law, Board policy, and applicable provisions of any relevant collective bargaining agreement.</w:t>
      </w:r>
    </w:p>
    <w:p w14:paraId="532FC1D0"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6A2B222D"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The following disciplinary sanctions/consequences may be imposed on a non-student/non-employee member of the School District community or Third Party who is determined responsible for violating this policy (i.e., engaging in Sexual Harassment):</w:t>
      </w:r>
      <w:r w:rsidRPr="003B7D0D">
        <w:rPr>
          <w:rFonts w:ascii="Verdana" w:eastAsia="Times New Roman" w:hAnsi="Verdana" w:cs="Times New Roman"/>
          <w:color w:val="333333"/>
          <w:kern w:val="0"/>
          <w:sz w:val="17"/>
          <w:szCs w:val="17"/>
          <w14:ligatures w14:val="none"/>
        </w:rPr>
        <w:br/>
        <w:t> </w:t>
      </w:r>
    </w:p>
    <w:p w14:paraId="13CAFB7B" w14:textId="77777777" w:rsidR="003B7D0D" w:rsidRPr="003B7D0D" w:rsidRDefault="003B7D0D" w:rsidP="003B7D0D">
      <w:pPr>
        <w:numPr>
          <w:ilvl w:val="0"/>
          <w:numId w:val="19"/>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oral or written warning;</w:t>
      </w:r>
      <w:r w:rsidRPr="003B7D0D">
        <w:rPr>
          <w:rFonts w:ascii="Verdana" w:eastAsia="Times New Roman" w:hAnsi="Verdana" w:cs="Times New Roman"/>
          <w:color w:val="333333"/>
          <w:kern w:val="0"/>
          <w:sz w:val="17"/>
          <w:szCs w:val="17"/>
          <w14:ligatures w14:val="none"/>
        </w:rPr>
        <w:br/>
        <w:t> </w:t>
      </w:r>
    </w:p>
    <w:p w14:paraId="6D1E5D12" w14:textId="77777777" w:rsidR="003B7D0D" w:rsidRPr="003B7D0D" w:rsidRDefault="003B7D0D" w:rsidP="003B7D0D">
      <w:pPr>
        <w:numPr>
          <w:ilvl w:val="0"/>
          <w:numId w:val="19"/>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suspension or termination/cancellation of the Board’s contract with the third-party vendor or contractor and/or debarment from future contracts;</w:t>
      </w:r>
      <w:r w:rsidRPr="003B7D0D">
        <w:rPr>
          <w:rFonts w:ascii="Verdana" w:eastAsia="Times New Roman" w:hAnsi="Verdana" w:cs="Times New Roman"/>
          <w:color w:val="333333"/>
          <w:kern w:val="0"/>
          <w:sz w:val="17"/>
          <w:szCs w:val="17"/>
          <w14:ligatures w14:val="none"/>
        </w:rPr>
        <w:br/>
        <w:t> </w:t>
      </w:r>
    </w:p>
    <w:p w14:paraId="40E56F01" w14:textId="77777777" w:rsidR="003B7D0D" w:rsidRPr="003B7D0D" w:rsidRDefault="003B7D0D" w:rsidP="003B7D0D">
      <w:pPr>
        <w:numPr>
          <w:ilvl w:val="0"/>
          <w:numId w:val="19"/>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mandatory monitoring of the third party while on school property and/or while working/interacting with students;</w:t>
      </w:r>
      <w:r w:rsidRPr="003B7D0D">
        <w:rPr>
          <w:rFonts w:ascii="Verdana" w:eastAsia="Times New Roman" w:hAnsi="Verdana" w:cs="Times New Roman"/>
          <w:color w:val="333333"/>
          <w:kern w:val="0"/>
          <w:sz w:val="17"/>
          <w:szCs w:val="17"/>
          <w14:ligatures w14:val="none"/>
        </w:rPr>
        <w:br/>
        <w:t> </w:t>
      </w:r>
    </w:p>
    <w:p w14:paraId="3CE04FC2" w14:textId="77777777" w:rsidR="003B7D0D" w:rsidRPr="003B7D0D" w:rsidRDefault="003B7D0D" w:rsidP="003B7D0D">
      <w:pPr>
        <w:numPr>
          <w:ilvl w:val="0"/>
          <w:numId w:val="19"/>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restriction/prohibition on the third party’s ability to be on school property;</w:t>
      </w:r>
      <w:r w:rsidRPr="003B7D0D">
        <w:rPr>
          <w:rFonts w:ascii="Verdana" w:eastAsia="Times New Roman" w:hAnsi="Verdana" w:cs="Times New Roman"/>
          <w:color w:val="333333"/>
          <w:kern w:val="0"/>
          <w:sz w:val="17"/>
          <w:szCs w:val="17"/>
          <w14:ligatures w14:val="none"/>
        </w:rPr>
        <w:br/>
        <w:t> </w:t>
      </w:r>
    </w:p>
    <w:p w14:paraId="04608984" w14:textId="77777777" w:rsidR="003B7D0D" w:rsidRPr="003B7D0D" w:rsidRDefault="003B7D0D" w:rsidP="003B7D0D">
      <w:pPr>
        <w:numPr>
          <w:ilvl w:val="0"/>
          <w:numId w:val="19"/>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Any other remedies provided by the Board’s contract with the third-party vendor or contractor; and</w:t>
      </w:r>
      <w:r w:rsidRPr="003B7D0D">
        <w:rPr>
          <w:rFonts w:ascii="Verdana" w:eastAsia="Times New Roman" w:hAnsi="Verdana" w:cs="Times New Roman"/>
          <w:color w:val="333333"/>
          <w:kern w:val="0"/>
          <w:sz w:val="17"/>
          <w:szCs w:val="17"/>
          <w14:ligatures w14:val="none"/>
        </w:rPr>
        <w:br/>
        <w:t> </w:t>
      </w:r>
    </w:p>
    <w:p w14:paraId="06883DBC" w14:textId="77777777" w:rsidR="003B7D0D" w:rsidRPr="003B7D0D" w:rsidRDefault="003B7D0D" w:rsidP="003B7D0D">
      <w:pPr>
        <w:numPr>
          <w:ilvl w:val="0"/>
          <w:numId w:val="19"/>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any combination of the same.</w:t>
      </w:r>
      <w:r w:rsidRPr="003B7D0D">
        <w:rPr>
          <w:rFonts w:ascii="Verdana" w:eastAsia="Times New Roman" w:hAnsi="Verdana" w:cs="Times New Roman"/>
          <w:color w:val="333333"/>
          <w:kern w:val="0"/>
          <w:sz w:val="17"/>
          <w:szCs w:val="17"/>
          <w14:ligatures w14:val="none"/>
        </w:rPr>
        <w:br/>
        <w:t> </w:t>
      </w:r>
    </w:p>
    <w:p w14:paraId="33B5124A"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If the decision-maker(s) determines the third-party Respondent is responsible for violating this policy (i.e., engaging in Sexual Harassment), the decision-maker(s) will recommend appropriate remedies to the Superintendent, including imposition of sanctions.</w:t>
      </w:r>
    </w:p>
    <w:p w14:paraId="448B752D"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351B2673"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The decision-maker(s) will provide the written determination to the Title IX Coordinator who will provide the written determination to the parties simultaneously.</w:t>
      </w:r>
    </w:p>
    <w:p w14:paraId="6D9EE137"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0332FA36"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 xml:space="preserve">The </w:t>
      </w:r>
      <w:proofErr w:type="gramStart"/>
      <w:r w:rsidRPr="003B7D0D">
        <w:rPr>
          <w:rFonts w:ascii="Verdana" w:eastAsia="Times New Roman" w:hAnsi="Verdana" w:cs="Times New Roman"/>
          <w:color w:val="333333"/>
          <w:kern w:val="0"/>
          <w:sz w:val="17"/>
          <w:szCs w:val="17"/>
          <w:bdr w:val="none" w:sz="0" w:space="0" w:color="auto" w:frame="1"/>
          <w14:ligatures w14:val="none"/>
        </w:rPr>
        <w:t>District’s</w:t>
      </w:r>
      <w:proofErr w:type="gramEnd"/>
      <w:r w:rsidRPr="003B7D0D">
        <w:rPr>
          <w:rFonts w:ascii="Verdana" w:eastAsia="Times New Roman" w:hAnsi="Verdana" w:cs="Times New Roman"/>
          <w:color w:val="333333"/>
          <w:kern w:val="0"/>
          <w:sz w:val="17"/>
          <w:szCs w:val="17"/>
          <w:bdr w:val="none" w:sz="0" w:space="0" w:color="auto" w:frame="1"/>
          <w14:ligatures w14:val="none"/>
        </w:rPr>
        <w:t xml:space="preserve"> resolution of a Formal Complaint ordinarily will not be impacted by the fact that criminal charges involving the same incident have been filed or that charges have been dismissed or reduced.</w:t>
      </w:r>
    </w:p>
    <w:p w14:paraId="55B5AD93"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35D0D6F1"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lastRenderedPageBreak/>
        <w:t>At any point in the grievance process, the Superintendent (or the Title IX Coordinator if the Superintendent is the Respondent) may involve local law enforcement and/or file criminal charges related to allegations of Sexual Harassment that involve a sexual assault.</w:t>
      </w:r>
    </w:p>
    <w:p w14:paraId="27D2B3AB"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594371F9"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inherit" w:eastAsia="Times New Roman" w:hAnsi="inherit" w:cs="Times New Roman"/>
          <w:b/>
          <w:bCs/>
          <w:color w:val="333333"/>
          <w:kern w:val="0"/>
          <w:sz w:val="17"/>
          <w:szCs w:val="17"/>
          <w:bdr w:val="none" w:sz="0" w:space="0" w:color="auto" w:frame="1"/>
          <w14:ligatures w14:val="none"/>
        </w:rPr>
        <w:t>Appeal</w:t>
      </w:r>
    </w:p>
    <w:p w14:paraId="0B7848E8"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2091B1E4"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Both parties have the right to file an appeal from a determination regarding responsibility, or from the Title IX Coordinator’s dismissal of a Formal Complaint or any allegations therein, on the following bases:</w:t>
      </w:r>
      <w:r w:rsidRPr="003B7D0D">
        <w:rPr>
          <w:rFonts w:ascii="Verdana" w:eastAsia="Times New Roman" w:hAnsi="Verdana" w:cs="Times New Roman"/>
          <w:color w:val="333333"/>
          <w:kern w:val="0"/>
          <w:sz w:val="17"/>
          <w:szCs w:val="17"/>
          <w14:ligatures w14:val="none"/>
        </w:rPr>
        <w:br/>
        <w:t> </w:t>
      </w:r>
    </w:p>
    <w:p w14:paraId="106247DB" w14:textId="77777777" w:rsidR="003B7D0D" w:rsidRPr="003B7D0D" w:rsidRDefault="003B7D0D" w:rsidP="003B7D0D">
      <w:pPr>
        <w:numPr>
          <w:ilvl w:val="0"/>
          <w:numId w:val="20"/>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Procedural irregularity that affected the outcome of the matter (e.g., material deviation from established procedures);</w:t>
      </w:r>
      <w:r w:rsidRPr="003B7D0D">
        <w:rPr>
          <w:rFonts w:ascii="Verdana" w:eastAsia="Times New Roman" w:hAnsi="Verdana" w:cs="Times New Roman"/>
          <w:color w:val="333333"/>
          <w:kern w:val="0"/>
          <w:sz w:val="17"/>
          <w:szCs w:val="17"/>
          <w14:ligatures w14:val="none"/>
        </w:rPr>
        <w:br/>
        <w:t> </w:t>
      </w:r>
    </w:p>
    <w:p w14:paraId="256B4FBD" w14:textId="77777777" w:rsidR="003B7D0D" w:rsidRPr="003B7D0D" w:rsidRDefault="003B7D0D" w:rsidP="003B7D0D">
      <w:pPr>
        <w:numPr>
          <w:ilvl w:val="0"/>
          <w:numId w:val="20"/>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New evidence that was not reasonably available at the time the determination regarding responsibility or dismissal was made, that could affect the outcome of the matter; and</w:t>
      </w:r>
      <w:r w:rsidRPr="003B7D0D">
        <w:rPr>
          <w:rFonts w:ascii="Verdana" w:eastAsia="Times New Roman" w:hAnsi="Verdana" w:cs="Times New Roman"/>
          <w:color w:val="333333"/>
          <w:kern w:val="0"/>
          <w:sz w:val="17"/>
          <w:szCs w:val="17"/>
          <w14:ligatures w14:val="none"/>
        </w:rPr>
        <w:br/>
        <w:t> </w:t>
      </w:r>
    </w:p>
    <w:p w14:paraId="20DEBB76" w14:textId="77777777" w:rsidR="003B7D0D" w:rsidRPr="003B7D0D" w:rsidRDefault="003B7D0D" w:rsidP="003B7D0D">
      <w:pPr>
        <w:numPr>
          <w:ilvl w:val="0"/>
          <w:numId w:val="20"/>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The Title IX Coordinator, investigator(s), or decision-maker(s) had a conflict of interest or bias for or against Complainants or Respondents generally or the individual Complainant(s) or Respondent(s) that affected the outcome of the matter.</w:t>
      </w:r>
      <w:r w:rsidRPr="003B7D0D">
        <w:rPr>
          <w:rFonts w:ascii="Verdana" w:eastAsia="Times New Roman" w:hAnsi="Verdana" w:cs="Times New Roman"/>
          <w:color w:val="333333"/>
          <w:kern w:val="0"/>
          <w:sz w:val="17"/>
          <w:szCs w:val="17"/>
          <w14:ligatures w14:val="none"/>
        </w:rPr>
        <w:br/>
        <w:t> </w:t>
      </w:r>
    </w:p>
    <w:p w14:paraId="1BCA6161"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Any party wishing to appeal the decision-maker(s)’s determination of responsibility, or the Title IX Coordinator’s dismissal of a Formal Complaint or any allegations therein, must submit a written notice of appeal to the Title IX Coordinator within five (5) days after receipt of the decision-maker(s)’s determination of responsibility or the Title IX Coordinator’s dismissal of a Formal Complaint or any allegations therein.</w:t>
      </w:r>
    </w:p>
    <w:p w14:paraId="3E0692F7"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1D40E792"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Nothing herein shall prevent the Superintendent (or the Board when the appointed Superintendent is the Respondent) from implementing appropriate remedies; however, excluding disciplinary sanction, while the appeal is pending.</w:t>
      </w:r>
    </w:p>
    <w:p w14:paraId="5E009DB6"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58AF2881"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As to all appeals, the Title IX Coordinator will notify the other party in writing when an appeal is filed and implement appeal procedures equally for both parties.</w:t>
      </w:r>
    </w:p>
    <w:p w14:paraId="52B1D173"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0ABD1AE6"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The decision-maker(s) for the appeal shall not be the same person(s) as the decision-maker(s) that reached the determination regarding responsibility or dismissal, the investigator(s), or the Title IX Coordinator(s). The decision-maker(s) for the appeal shall not have a conflict of interest or bias for or against Complainants or Respondents generally or an individual Complainant(s) or Respondent(s) and shall receive the same training as required of other decision-makers.</w:t>
      </w:r>
    </w:p>
    <w:p w14:paraId="13BD8F2C"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6A2A4580"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Both parties shall have a reasonable, equal opportunity to submit a written statement in support of, or challenging, the outcome.</w:t>
      </w:r>
    </w:p>
    <w:p w14:paraId="72B93A61"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4701973F"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Specifically, the appealing party must submit with the notice of appeal a written statement challenging the determination of responsibility. The non-appealing party shall have up to five (5) days after receipt of the appealing party’s written statement to submit his/her written statement in support of the determination of responsibility.</w:t>
      </w:r>
    </w:p>
    <w:p w14:paraId="2314170B"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54C4BB97"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The decision-maker(s) for the appeal shall issue a written decision describing the result of the appeal and the rationale for the result. The original decision-maker(s’) determination of responsibility will stand if the appeal request is not filed in a timely manner or the appealing party fails to show clear error and/or a compelling rationale for overturning or modifying the original determination. The written decision will be provided to the Title IX Coordinator who will provide it simultaneously to both parties. The written decision will be issued within fifteen (15) workdays of when the parties’ written statements were submitted.</w:t>
      </w:r>
    </w:p>
    <w:p w14:paraId="1A5D6B58"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0CEBE07F"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The determination of responsibility associated with a Formal Complaint, including any recommendations for remedies/disciplinary sanctions, becomes final when the time for filing an appeal has passed or, if an appeal is filed, at the point when the decision-maker(s) for the appeal’s decision is delivered to the Complainant and the Respondent.</w:t>
      </w:r>
    </w:p>
    <w:p w14:paraId="50100D3A"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12D8408A"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No further review beyond the appeal is permitted.</w:t>
      </w:r>
    </w:p>
    <w:p w14:paraId="0D30B924"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213B46BD"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inherit" w:eastAsia="Times New Roman" w:hAnsi="inherit" w:cs="Times New Roman"/>
          <w:b/>
          <w:bCs/>
          <w:color w:val="333333"/>
          <w:kern w:val="0"/>
          <w:sz w:val="17"/>
          <w:szCs w:val="17"/>
          <w:bdr w:val="none" w:sz="0" w:space="0" w:color="auto" w:frame="1"/>
          <w14:ligatures w14:val="none"/>
        </w:rPr>
        <w:t>Retaliation</w:t>
      </w:r>
    </w:p>
    <w:p w14:paraId="7A157E06"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lastRenderedPageBreak/>
        <w:t> </w:t>
      </w:r>
    </w:p>
    <w:p w14:paraId="2590A351"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Neither the Board nor any other person may intimidate, threaten, coerce, or discriminate against any individual for the purpose of interfering with any right or privilege secured by Title IX, its implementing regulations, or this policy, or because the individual made a report or complaint, testified, assisted, or participated or refused to participate in any manner in an investigation, proceeding, or hearing under this policy. Intimidation, threats, coercion, or discrimination, including charges against an individual for code of conduct violations that do not involve sex discrimination or Sexual Harassment, but arise out of the same facts or circumstances as a report or complaint of sex discrimination, or a report or Formal Complaint of Sexual Harassment, for the purpose of interfering with any right or privilege secured by Title IX, its implementing regulations, or this policy, constitutes retaliation. Retaliation against a person for making a report of Sexual Harassment, filing a Formal Complaint, or participating in an investigation, is a serious violation of this policy that can result in imposition of disciplinary sanctions/consequences and/or other appropriate remedies.</w:t>
      </w:r>
    </w:p>
    <w:p w14:paraId="38D62D13"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0B8BF2CB"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Complaints alleging retaliation may be filed according to the grievance process set forth above.</w:t>
      </w:r>
    </w:p>
    <w:p w14:paraId="12EE14C4"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529F4D76"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The exercise of rights protected under the First Amendment of the United States Constitution does not constitute retaliation prohibited under this policy.</w:t>
      </w:r>
    </w:p>
    <w:p w14:paraId="446B92CA"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6DEB30F0"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Charging an individual with a code of conduct violation for making a materially false statement in bad faith in the course of a grievance proceeding under this policy shall not constitute retaliation, provided, however, that a determination regarding responsibility, alone, is not sufficient to conclude that any party made a materially false statement in bad faith.</w:t>
      </w:r>
    </w:p>
    <w:p w14:paraId="72C1540E"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7DC29A70"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inherit" w:eastAsia="Times New Roman" w:hAnsi="inherit" w:cs="Times New Roman"/>
          <w:b/>
          <w:bCs/>
          <w:color w:val="333333"/>
          <w:kern w:val="0"/>
          <w:sz w:val="17"/>
          <w:szCs w:val="17"/>
          <w:bdr w:val="none" w:sz="0" w:space="0" w:color="auto" w:frame="1"/>
          <w14:ligatures w14:val="none"/>
        </w:rPr>
        <w:t>Confidentiality</w:t>
      </w:r>
    </w:p>
    <w:p w14:paraId="2DABB68C"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2F86D614"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The District will keep confidential the identity of any individual who has made a report or complaint of sex discrimination, including any individual who has made a report or filed a Formal Complaint of Sexual Harassment, any Complainant, any individual who has been reported to be the perpetrator of sex discrimination, any Respondent, and any witness, except as may be permitted by the Family Educational Rights and Privacy Act ("FERPA"), 20 U.S.C. 1232g, or FERPA regulations, 34 CFR part 99, F.S. 1002.22-1002.222, or as required by law, or to carry out the purposes of 34 CFR part 106, including the conduct of any investigation, hearing, or judicial proceeding arising thereunder (i.e., the District’s obligation to maintain confidentiality shall not impair or otherwise affect the Complainant’s and Respondent’s receipt of the information to which they are entitled related to the investigative record and determination of responsibility).</w:t>
      </w:r>
    </w:p>
    <w:p w14:paraId="62CF801A"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4D72402F"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inherit" w:eastAsia="Times New Roman" w:hAnsi="inherit" w:cs="Times New Roman"/>
          <w:b/>
          <w:bCs/>
          <w:color w:val="333333"/>
          <w:kern w:val="0"/>
          <w:sz w:val="17"/>
          <w:szCs w:val="17"/>
          <w:bdr w:val="none" w:sz="0" w:space="0" w:color="auto" w:frame="1"/>
          <w14:ligatures w14:val="none"/>
        </w:rPr>
        <w:t>Training</w:t>
      </w:r>
    </w:p>
    <w:p w14:paraId="331523A4"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4D0518E1"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The District’s Title IX Coordinator, along with any investigator(s), decision-maker(s), or person(s) designated to facilitate an informal resolution process, must receive training on:</w:t>
      </w:r>
      <w:r w:rsidRPr="003B7D0D">
        <w:rPr>
          <w:rFonts w:ascii="Verdana" w:eastAsia="Times New Roman" w:hAnsi="Verdana" w:cs="Times New Roman"/>
          <w:color w:val="333333"/>
          <w:kern w:val="0"/>
          <w:sz w:val="17"/>
          <w:szCs w:val="17"/>
          <w14:ligatures w14:val="none"/>
        </w:rPr>
        <w:br/>
        <w:t> </w:t>
      </w:r>
    </w:p>
    <w:p w14:paraId="57984275" w14:textId="77777777" w:rsidR="003B7D0D" w:rsidRPr="003B7D0D" w:rsidRDefault="003B7D0D" w:rsidP="003B7D0D">
      <w:pPr>
        <w:numPr>
          <w:ilvl w:val="0"/>
          <w:numId w:val="21"/>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the definition of Sexual Harassment (as that term is used in this policy);</w:t>
      </w:r>
      <w:r w:rsidRPr="003B7D0D">
        <w:rPr>
          <w:rFonts w:ascii="Verdana" w:eastAsia="Times New Roman" w:hAnsi="Verdana" w:cs="Times New Roman"/>
          <w:color w:val="333333"/>
          <w:kern w:val="0"/>
          <w:sz w:val="17"/>
          <w:szCs w:val="17"/>
          <w14:ligatures w14:val="none"/>
        </w:rPr>
        <w:br/>
        <w:t> </w:t>
      </w:r>
    </w:p>
    <w:p w14:paraId="073A70BA" w14:textId="77777777" w:rsidR="003B7D0D" w:rsidRPr="003B7D0D" w:rsidRDefault="003B7D0D" w:rsidP="003B7D0D">
      <w:pPr>
        <w:numPr>
          <w:ilvl w:val="0"/>
          <w:numId w:val="21"/>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 xml:space="preserve">the scope of the </w:t>
      </w:r>
      <w:proofErr w:type="gramStart"/>
      <w:r w:rsidRPr="003B7D0D">
        <w:rPr>
          <w:rFonts w:ascii="Verdana" w:eastAsia="Times New Roman" w:hAnsi="Verdana" w:cs="Times New Roman"/>
          <w:color w:val="333333"/>
          <w:kern w:val="0"/>
          <w:sz w:val="17"/>
          <w:szCs w:val="17"/>
          <w:bdr w:val="none" w:sz="0" w:space="0" w:color="auto" w:frame="1"/>
          <w14:ligatures w14:val="none"/>
        </w:rPr>
        <w:t>District’s</w:t>
      </w:r>
      <w:proofErr w:type="gramEnd"/>
      <w:r w:rsidRPr="003B7D0D">
        <w:rPr>
          <w:rFonts w:ascii="Verdana" w:eastAsia="Times New Roman" w:hAnsi="Verdana" w:cs="Times New Roman"/>
          <w:color w:val="333333"/>
          <w:kern w:val="0"/>
          <w:sz w:val="17"/>
          <w:szCs w:val="17"/>
          <w:bdr w:val="none" w:sz="0" w:space="0" w:color="auto" w:frame="1"/>
          <w14:ligatures w14:val="none"/>
        </w:rPr>
        <w:t xml:space="preserve"> education program or activity;</w:t>
      </w:r>
      <w:r w:rsidRPr="003B7D0D">
        <w:rPr>
          <w:rFonts w:ascii="Verdana" w:eastAsia="Times New Roman" w:hAnsi="Verdana" w:cs="Times New Roman"/>
          <w:color w:val="333333"/>
          <w:kern w:val="0"/>
          <w:sz w:val="17"/>
          <w:szCs w:val="17"/>
          <w14:ligatures w14:val="none"/>
        </w:rPr>
        <w:br/>
        <w:t> </w:t>
      </w:r>
    </w:p>
    <w:p w14:paraId="68034A76" w14:textId="77777777" w:rsidR="003B7D0D" w:rsidRPr="003B7D0D" w:rsidRDefault="003B7D0D" w:rsidP="003B7D0D">
      <w:pPr>
        <w:numPr>
          <w:ilvl w:val="0"/>
          <w:numId w:val="21"/>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how to conduct an investigation and implement the grievance process appeals and informal resolution processes, as applicable; and</w:t>
      </w:r>
      <w:r w:rsidRPr="003B7D0D">
        <w:rPr>
          <w:rFonts w:ascii="Verdana" w:eastAsia="Times New Roman" w:hAnsi="Verdana" w:cs="Times New Roman"/>
          <w:color w:val="333333"/>
          <w:kern w:val="0"/>
          <w:sz w:val="17"/>
          <w:szCs w:val="17"/>
          <w14:ligatures w14:val="none"/>
        </w:rPr>
        <w:br/>
        <w:t> </w:t>
      </w:r>
    </w:p>
    <w:p w14:paraId="614C883A" w14:textId="77777777" w:rsidR="003B7D0D" w:rsidRPr="003B7D0D" w:rsidRDefault="003B7D0D" w:rsidP="003B7D0D">
      <w:pPr>
        <w:numPr>
          <w:ilvl w:val="0"/>
          <w:numId w:val="21"/>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how to serve impartially, including by avoiding prejudgment of the facts at issue, conflicts of interests, and bias.</w:t>
      </w:r>
      <w:r w:rsidRPr="003B7D0D">
        <w:rPr>
          <w:rFonts w:ascii="Verdana" w:eastAsia="Times New Roman" w:hAnsi="Verdana" w:cs="Times New Roman"/>
          <w:color w:val="333333"/>
          <w:kern w:val="0"/>
          <w:sz w:val="17"/>
          <w:szCs w:val="17"/>
          <w14:ligatures w14:val="none"/>
        </w:rPr>
        <w:br/>
        <w:t> </w:t>
      </w:r>
    </w:p>
    <w:p w14:paraId="50130078"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All Board employees will be trained concerning their legal obligation to report Sexual Harassment to the Title IX Coordinator. This training will include practical information about how to identify and report Sexual Harassment.</w:t>
      </w:r>
    </w:p>
    <w:p w14:paraId="0405EEEA"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72AB2906"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inherit" w:eastAsia="Times New Roman" w:hAnsi="inherit" w:cs="Times New Roman"/>
          <w:b/>
          <w:bCs/>
          <w:color w:val="333333"/>
          <w:kern w:val="0"/>
          <w:sz w:val="17"/>
          <w:szCs w:val="17"/>
          <w:bdr w:val="none" w:sz="0" w:space="0" w:color="auto" w:frame="1"/>
          <w14:ligatures w14:val="none"/>
        </w:rPr>
        <w:t>Recordkeeping</w:t>
      </w:r>
    </w:p>
    <w:p w14:paraId="2B51B6DA"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78E0A3C8"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lastRenderedPageBreak/>
        <w:t xml:space="preserve">As part of its response to alleged violations of this policy, the </w:t>
      </w:r>
      <w:proofErr w:type="gramStart"/>
      <w:r w:rsidRPr="003B7D0D">
        <w:rPr>
          <w:rFonts w:ascii="Verdana" w:eastAsia="Times New Roman" w:hAnsi="Verdana" w:cs="Times New Roman"/>
          <w:color w:val="333333"/>
          <w:kern w:val="0"/>
          <w:sz w:val="17"/>
          <w:szCs w:val="17"/>
          <w:bdr w:val="none" w:sz="0" w:space="0" w:color="auto" w:frame="1"/>
          <w14:ligatures w14:val="none"/>
        </w:rPr>
        <w:t>District</w:t>
      </w:r>
      <w:proofErr w:type="gramEnd"/>
      <w:r w:rsidRPr="003B7D0D">
        <w:rPr>
          <w:rFonts w:ascii="Verdana" w:eastAsia="Times New Roman" w:hAnsi="Verdana" w:cs="Times New Roman"/>
          <w:color w:val="333333"/>
          <w:kern w:val="0"/>
          <w:sz w:val="17"/>
          <w:szCs w:val="17"/>
          <w:bdr w:val="none" w:sz="0" w:space="0" w:color="auto" w:frame="1"/>
          <w14:ligatures w14:val="none"/>
        </w:rPr>
        <w:t xml:space="preserve"> shall create, and maintain for a period of seven (7) calendar years, records of any actions, including any supportive measures, taken in response to a report or Formal Complaint of Sexual Harassment.</w:t>
      </w:r>
    </w:p>
    <w:p w14:paraId="5CF820A6"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360956D9"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 xml:space="preserve">The </w:t>
      </w:r>
      <w:proofErr w:type="gramStart"/>
      <w:r w:rsidRPr="003B7D0D">
        <w:rPr>
          <w:rFonts w:ascii="Verdana" w:eastAsia="Times New Roman" w:hAnsi="Verdana" w:cs="Times New Roman"/>
          <w:color w:val="333333"/>
          <w:kern w:val="0"/>
          <w:sz w:val="17"/>
          <w:szCs w:val="17"/>
          <w:bdr w:val="none" w:sz="0" w:space="0" w:color="auto" w:frame="1"/>
          <w14:ligatures w14:val="none"/>
        </w:rPr>
        <w:t>District</w:t>
      </w:r>
      <w:proofErr w:type="gramEnd"/>
      <w:r w:rsidRPr="003B7D0D">
        <w:rPr>
          <w:rFonts w:ascii="Verdana" w:eastAsia="Times New Roman" w:hAnsi="Verdana" w:cs="Times New Roman"/>
          <w:color w:val="333333"/>
          <w:kern w:val="0"/>
          <w:sz w:val="17"/>
          <w:szCs w:val="17"/>
          <w:bdr w:val="none" w:sz="0" w:space="0" w:color="auto" w:frame="1"/>
          <w14:ligatures w14:val="none"/>
        </w:rPr>
        <w:t xml:space="preserve"> shall maintain for a period of seven (7) calendar years the following records:</w:t>
      </w:r>
      <w:r w:rsidRPr="003B7D0D">
        <w:rPr>
          <w:rFonts w:ascii="Verdana" w:eastAsia="Times New Roman" w:hAnsi="Verdana" w:cs="Times New Roman"/>
          <w:color w:val="333333"/>
          <w:kern w:val="0"/>
          <w:sz w:val="17"/>
          <w:szCs w:val="17"/>
          <w14:ligatures w14:val="none"/>
        </w:rPr>
        <w:br/>
        <w:t> </w:t>
      </w:r>
    </w:p>
    <w:p w14:paraId="1F5594CE" w14:textId="77777777" w:rsidR="003B7D0D" w:rsidRPr="003B7D0D" w:rsidRDefault="003B7D0D" w:rsidP="003B7D0D">
      <w:pPr>
        <w:numPr>
          <w:ilvl w:val="0"/>
          <w:numId w:val="22"/>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each Sexual Harassment investigation including any determination regarding responsibility</w:t>
      </w:r>
      <w:proofErr w:type="gramStart"/>
      <w:r w:rsidRPr="003B7D0D">
        <w:rPr>
          <w:rFonts w:ascii="Verdana" w:eastAsia="Times New Roman" w:hAnsi="Verdana" w:cs="Times New Roman"/>
          <w:color w:val="333333"/>
          <w:kern w:val="0"/>
          <w:sz w:val="17"/>
          <w:szCs w:val="17"/>
          <w:bdr w:val="none" w:sz="0" w:space="0" w:color="auto" w:frame="1"/>
          <w14:ligatures w14:val="none"/>
        </w:rPr>
        <w:t>. ,</w:t>
      </w:r>
      <w:proofErr w:type="gramEnd"/>
      <w:r w:rsidRPr="003B7D0D">
        <w:rPr>
          <w:rFonts w:ascii="Verdana" w:eastAsia="Times New Roman" w:hAnsi="Verdana" w:cs="Times New Roman"/>
          <w:color w:val="333333"/>
          <w:kern w:val="0"/>
          <w:sz w:val="17"/>
          <w:szCs w:val="17"/>
          <w:bdr w:val="none" w:sz="0" w:space="0" w:color="auto" w:frame="1"/>
          <w14:ligatures w14:val="none"/>
        </w:rPr>
        <w:t xml:space="preserve"> any disciplinary sanctions recommended and/or imposed on the Respondent(s), and any remedies provided to the Complainant(s) designed to restore or preserve equal access to the </w:t>
      </w:r>
      <w:proofErr w:type="gramStart"/>
      <w:r w:rsidRPr="003B7D0D">
        <w:rPr>
          <w:rFonts w:ascii="Verdana" w:eastAsia="Times New Roman" w:hAnsi="Verdana" w:cs="Times New Roman"/>
          <w:color w:val="333333"/>
          <w:kern w:val="0"/>
          <w:sz w:val="17"/>
          <w:szCs w:val="17"/>
          <w:bdr w:val="none" w:sz="0" w:space="0" w:color="auto" w:frame="1"/>
          <w14:ligatures w14:val="none"/>
        </w:rPr>
        <w:t>District’s</w:t>
      </w:r>
      <w:proofErr w:type="gramEnd"/>
      <w:r w:rsidRPr="003B7D0D">
        <w:rPr>
          <w:rFonts w:ascii="Verdana" w:eastAsia="Times New Roman" w:hAnsi="Verdana" w:cs="Times New Roman"/>
          <w:color w:val="333333"/>
          <w:kern w:val="0"/>
          <w:sz w:val="17"/>
          <w:szCs w:val="17"/>
          <w:bdr w:val="none" w:sz="0" w:space="0" w:color="auto" w:frame="1"/>
          <w14:ligatures w14:val="none"/>
        </w:rPr>
        <w:t xml:space="preserve"> education program or activity</w:t>
      </w:r>
      <w:r w:rsidRPr="003B7D0D">
        <w:rPr>
          <w:rFonts w:ascii="Verdana" w:eastAsia="Times New Roman" w:hAnsi="Verdana" w:cs="Times New Roman"/>
          <w:color w:val="333333"/>
          <w:kern w:val="0"/>
          <w:sz w:val="17"/>
          <w:szCs w:val="17"/>
          <w14:ligatures w14:val="none"/>
        </w:rPr>
        <w:br/>
        <w:t> </w:t>
      </w:r>
    </w:p>
    <w:p w14:paraId="313A71BD" w14:textId="77777777" w:rsidR="003B7D0D" w:rsidRPr="003B7D0D" w:rsidRDefault="003B7D0D" w:rsidP="003B7D0D">
      <w:pPr>
        <w:numPr>
          <w:ilvl w:val="0"/>
          <w:numId w:val="22"/>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any appeal and the result therefrom</w:t>
      </w:r>
      <w:r w:rsidRPr="003B7D0D">
        <w:rPr>
          <w:rFonts w:ascii="Verdana" w:eastAsia="Times New Roman" w:hAnsi="Verdana" w:cs="Times New Roman"/>
          <w:color w:val="333333"/>
          <w:kern w:val="0"/>
          <w:sz w:val="17"/>
          <w:szCs w:val="17"/>
          <w14:ligatures w14:val="none"/>
        </w:rPr>
        <w:br/>
        <w:t> </w:t>
      </w:r>
    </w:p>
    <w:p w14:paraId="2A2A1D67" w14:textId="77777777" w:rsidR="003B7D0D" w:rsidRPr="003B7D0D" w:rsidRDefault="003B7D0D" w:rsidP="003B7D0D">
      <w:pPr>
        <w:numPr>
          <w:ilvl w:val="0"/>
          <w:numId w:val="22"/>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any informal resolution and the result therefrom, and</w:t>
      </w:r>
      <w:r w:rsidRPr="003B7D0D">
        <w:rPr>
          <w:rFonts w:ascii="Verdana" w:eastAsia="Times New Roman" w:hAnsi="Verdana" w:cs="Times New Roman"/>
          <w:color w:val="333333"/>
          <w:kern w:val="0"/>
          <w:sz w:val="17"/>
          <w:szCs w:val="17"/>
          <w14:ligatures w14:val="none"/>
        </w:rPr>
        <w:br/>
        <w:t> </w:t>
      </w:r>
    </w:p>
    <w:p w14:paraId="2CB6C5AC" w14:textId="77777777" w:rsidR="003B7D0D" w:rsidRPr="003B7D0D" w:rsidRDefault="003B7D0D" w:rsidP="003B7D0D">
      <w:pPr>
        <w:numPr>
          <w:ilvl w:val="0"/>
          <w:numId w:val="22"/>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all materials used to train Title IX Coordinators, investigators, decision-makers, and any person who facilitates an informal resolution process.</w:t>
      </w:r>
      <w:r w:rsidRPr="003B7D0D">
        <w:rPr>
          <w:rFonts w:ascii="Verdana" w:eastAsia="Times New Roman" w:hAnsi="Verdana" w:cs="Times New Roman"/>
          <w:color w:val="333333"/>
          <w:kern w:val="0"/>
          <w:sz w:val="17"/>
          <w:szCs w:val="17"/>
          <w14:ligatures w14:val="none"/>
        </w:rPr>
        <w:br/>
        <w:t> </w:t>
      </w:r>
    </w:p>
    <w:p w14:paraId="7ACA155F"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 xml:space="preserve">The </w:t>
      </w:r>
      <w:proofErr w:type="gramStart"/>
      <w:r w:rsidRPr="003B7D0D">
        <w:rPr>
          <w:rFonts w:ascii="Verdana" w:eastAsia="Times New Roman" w:hAnsi="Verdana" w:cs="Times New Roman"/>
          <w:color w:val="333333"/>
          <w:kern w:val="0"/>
          <w:sz w:val="17"/>
          <w:szCs w:val="17"/>
          <w:bdr w:val="none" w:sz="0" w:space="0" w:color="auto" w:frame="1"/>
          <w14:ligatures w14:val="none"/>
        </w:rPr>
        <w:t>District</w:t>
      </w:r>
      <w:proofErr w:type="gramEnd"/>
      <w:r w:rsidRPr="003B7D0D">
        <w:rPr>
          <w:rFonts w:ascii="Verdana" w:eastAsia="Times New Roman" w:hAnsi="Verdana" w:cs="Times New Roman"/>
          <w:color w:val="333333"/>
          <w:kern w:val="0"/>
          <w:sz w:val="17"/>
          <w:szCs w:val="17"/>
          <w:bdr w:val="none" w:sz="0" w:space="0" w:color="auto" w:frame="1"/>
          <w14:ligatures w14:val="none"/>
        </w:rPr>
        <w:t xml:space="preserve"> will make its training materials publicly available on its website. If a person is unable to access the </w:t>
      </w:r>
      <w:proofErr w:type="gramStart"/>
      <w:r w:rsidRPr="003B7D0D">
        <w:rPr>
          <w:rFonts w:ascii="Verdana" w:eastAsia="Times New Roman" w:hAnsi="Verdana" w:cs="Times New Roman"/>
          <w:color w:val="333333"/>
          <w:kern w:val="0"/>
          <w:sz w:val="17"/>
          <w:szCs w:val="17"/>
          <w:bdr w:val="none" w:sz="0" w:space="0" w:color="auto" w:frame="1"/>
          <w14:ligatures w14:val="none"/>
        </w:rPr>
        <w:t>District’s</w:t>
      </w:r>
      <w:proofErr w:type="gramEnd"/>
      <w:r w:rsidRPr="003B7D0D">
        <w:rPr>
          <w:rFonts w:ascii="Verdana" w:eastAsia="Times New Roman" w:hAnsi="Verdana" w:cs="Times New Roman"/>
          <w:color w:val="333333"/>
          <w:kern w:val="0"/>
          <w:sz w:val="17"/>
          <w:szCs w:val="17"/>
          <w:bdr w:val="none" w:sz="0" w:space="0" w:color="auto" w:frame="1"/>
          <w14:ligatures w14:val="none"/>
        </w:rPr>
        <w:t xml:space="preserve"> website, the Title IX Coordinator will make the training materials available upon request for inspection by members of the public.</w:t>
      </w:r>
    </w:p>
    <w:p w14:paraId="35A2DF10"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445444E6"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inherit" w:eastAsia="Times New Roman" w:hAnsi="inherit" w:cs="Times New Roman"/>
          <w:b/>
          <w:bCs/>
          <w:color w:val="333333"/>
          <w:kern w:val="0"/>
          <w:sz w:val="17"/>
          <w:szCs w:val="17"/>
          <w:bdr w:val="none" w:sz="0" w:space="0" w:color="auto" w:frame="1"/>
          <w14:ligatures w14:val="none"/>
        </w:rPr>
        <w:t>Outside Appointments, Dual Appointments, and Delegations</w:t>
      </w:r>
    </w:p>
    <w:p w14:paraId="6FE40E75"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1B0B95B8"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The Board retains discretion to appoint suitably qualified persons who are not Board employees to fulfill any function of the Board under this policy, including, but not limited to, Title IX Coordinator, investigator, decision-maker, and decision-maker for appeals,</w:t>
      </w:r>
    </w:p>
    <w:p w14:paraId="267B6706"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672C06FA"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The Board also retains discretion to appoint two (2) or more persons to jointly fulfill the role of Title IX Coordinator, investigator, decision-maker, and decision-maker for appeals.</w:t>
      </w:r>
    </w:p>
    <w:p w14:paraId="1F148EB2"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72B30F63"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The Superintendent may delegate functions assigned to a specific Board employee under this policy, including but not limited to the functions assigned to the Title IX Coordinator, investigator, decision-maker, and decision-maker for appeals, to any suitably qualified individual and such delegation may be rescinded by the Superintendent at any time.</w:t>
      </w:r>
    </w:p>
    <w:p w14:paraId="5A62492A"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079DC85F"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inherit" w:eastAsia="Times New Roman" w:hAnsi="inherit" w:cs="Times New Roman"/>
          <w:b/>
          <w:bCs/>
          <w:color w:val="333333"/>
          <w:kern w:val="0"/>
          <w:sz w:val="17"/>
          <w:szCs w:val="17"/>
          <w:bdr w:val="none" w:sz="0" w:space="0" w:color="auto" w:frame="1"/>
          <w14:ligatures w14:val="none"/>
        </w:rPr>
        <w:t>Discretion in Application</w:t>
      </w:r>
    </w:p>
    <w:p w14:paraId="4B1C9E82"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23F9AB55"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Despite the Board’s reasonable efforts to anticipate all eventualities in drafting this policy, it is possible unanticipated or extraordinary circumstances may not be specifically or reasonably addressed by the express policy language, in which case the Board retains discretion to respond to the unanticipated or extraordinary circumstance in a way that is not clearly unreasonable.</w:t>
      </w:r>
    </w:p>
    <w:p w14:paraId="3C2EA802"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64F01D2E"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Revised 11/16/21</w:t>
      </w:r>
    </w:p>
    <w:p w14:paraId="6A9C6059"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bdr w:val="none" w:sz="0" w:space="0" w:color="auto" w:frame="1"/>
          <w14:ligatures w14:val="none"/>
        </w:rPr>
        <w:t>Technical Corrections 12/12/23</w:t>
      </w:r>
    </w:p>
    <w:p w14:paraId="0C293317"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Verdana" w:eastAsia="Times New Roman" w:hAnsi="Verdana" w:cs="Times New Roman"/>
          <w:color w:val="333333"/>
          <w:kern w:val="0"/>
          <w:sz w:val="17"/>
          <w:szCs w:val="17"/>
          <w14:ligatures w14:val="none"/>
        </w:rPr>
        <w:t> </w:t>
      </w:r>
    </w:p>
    <w:p w14:paraId="2399BD64" w14:textId="77777777" w:rsidR="003B7D0D" w:rsidRPr="003B7D0D" w:rsidRDefault="003B7D0D" w:rsidP="003B7D0D">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3B7D0D">
        <w:rPr>
          <w:rFonts w:ascii="inherit" w:eastAsia="Times New Roman" w:hAnsi="inherit" w:cs="Times New Roman"/>
          <w:b/>
          <w:bCs/>
          <w:color w:val="333333"/>
          <w:kern w:val="0"/>
          <w:sz w:val="17"/>
          <w:szCs w:val="17"/>
          <w:bdr w:val="none" w:sz="0" w:space="0" w:color="auto" w:frame="1"/>
          <w14:ligatures w14:val="none"/>
        </w:rPr>
        <w:t>© Neola 2021</w:t>
      </w:r>
    </w:p>
    <w:p w14:paraId="5C037C78" w14:textId="77777777" w:rsidR="003B7D0D" w:rsidRPr="003B7D0D" w:rsidRDefault="003B7D0D" w:rsidP="003B7D0D">
      <w:pPr>
        <w:spacing w:after="0" w:line="240" w:lineRule="auto"/>
        <w:rPr>
          <w:rFonts w:eastAsia="Times New Roman" w:cs="Times New Roman"/>
          <w:kern w:val="0"/>
          <w14:ligatures w14:val="none"/>
        </w:rPr>
      </w:pPr>
      <w:r w:rsidRPr="003B7D0D">
        <w:rPr>
          <w:rFonts w:ascii="Verdana" w:eastAsia="Times New Roman" w:hAnsi="Verdana" w:cs="Times New Roman"/>
          <w:color w:val="333333"/>
          <w:kern w:val="0"/>
          <w:sz w:val="17"/>
          <w:szCs w:val="17"/>
          <w14:ligatures w14:val="none"/>
        </w:rPr>
        <w:br/>
      </w:r>
    </w:p>
    <w:p w14:paraId="0CCAEAF4" w14:textId="77777777" w:rsidR="003B7D0D" w:rsidRPr="003B7D0D" w:rsidRDefault="003B7D0D" w:rsidP="003B7D0D">
      <w:pPr>
        <w:shd w:val="clear" w:color="auto" w:fill="FFFFFF"/>
        <w:spacing w:after="0" w:line="240" w:lineRule="auto"/>
        <w:textAlignment w:val="top"/>
        <w:rPr>
          <w:rFonts w:ascii="inherit" w:eastAsia="Times New Roman" w:hAnsi="inherit" w:cs="Times New Roman"/>
          <w:color w:val="333333"/>
          <w:kern w:val="0"/>
          <w:sz w:val="19"/>
          <w:szCs w:val="19"/>
          <w14:ligatures w14:val="none"/>
        </w:rPr>
      </w:pPr>
      <w:r w:rsidRPr="003B7D0D">
        <w:rPr>
          <w:rFonts w:ascii="inherit" w:eastAsia="Times New Roman" w:hAnsi="inherit" w:cs="Times New Roman"/>
          <w:color w:val="333333"/>
          <w:kern w:val="0"/>
          <w:sz w:val="19"/>
          <w:szCs w:val="19"/>
          <w14:ligatures w14:val="none"/>
        </w:rPr>
        <w:t>Legal</w:t>
      </w:r>
    </w:p>
    <w:p w14:paraId="5FA44092" w14:textId="77777777" w:rsidR="003B7D0D" w:rsidRPr="003B7D0D" w:rsidRDefault="003B7D0D" w:rsidP="003B7D0D">
      <w:pPr>
        <w:shd w:val="clear" w:color="auto" w:fill="FFFFFF"/>
        <w:spacing w:after="0" w:line="240" w:lineRule="auto"/>
        <w:textAlignment w:val="top"/>
        <w:rPr>
          <w:rFonts w:ascii="inherit" w:eastAsia="Times New Roman" w:hAnsi="inherit" w:cs="Times New Roman"/>
          <w:color w:val="333333"/>
          <w:kern w:val="0"/>
          <w:sz w:val="19"/>
          <w:szCs w:val="19"/>
          <w14:ligatures w14:val="none"/>
        </w:rPr>
      </w:pPr>
      <w:hyperlink r:id="rId5" w:tgtFrame="_blank" w:history="1">
        <w:r w:rsidRPr="003B7D0D">
          <w:rPr>
            <w:rFonts w:ascii="inherit" w:eastAsia="Times New Roman" w:hAnsi="inherit" w:cs="Times New Roman"/>
            <w:color w:val="333333"/>
            <w:kern w:val="0"/>
            <w:sz w:val="19"/>
            <w:szCs w:val="19"/>
            <w:bdr w:val="none" w:sz="0" w:space="0" w:color="auto" w:frame="1"/>
            <w14:ligatures w14:val="none"/>
          </w:rPr>
          <w:t>20 U.S.C. 1681 et seq., Title IX of the Education Amendments of 1972 (Title IX)</w:t>
        </w:r>
      </w:hyperlink>
    </w:p>
    <w:p w14:paraId="3B4E0824" w14:textId="77777777" w:rsidR="003B7D0D" w:rsidRPr="003B7D0D" w:rsidRDefault="003B7D0D" w:rsidP="003B7D0D">
      <w:pPr>
        <w:shd w:val="clear" w:color="auto" w:fill="FFFFFF"/>
        <w:spacing w:after="0" w:line="240" w:lineRule="auto"/>
        <w:textAlignment w:val="top"/>
        <w:rPr>
          <w:rFonts w:ascii="inherit" w:eastAsia="Times New Roman" w:hAnsi="inherit" w:cs="Times New Roman"/>
          <w:color w:val="333333"/>
          <w:kern w:val="0"/>
          <w:sz w:val="19"/>
          <w:szCs w:val="19"/>
          <w14:ligatures w14:val="none"/>
        </w:rPr>
      </w:pPr>
      <w:hyperlink r:id="rId6" w:tgtFrame="_blank" w:history="1">
        <w:r w:rsidRPr="003B7D0D">
          <w:rPr>
            <w:rFonts w:ascii="inherit" w:eastAsia="Times New Roman" w:hAnsi="inherit" w:cs="Times New Roman"/>
            <w:color w:val="333333"/>
            <w:kern w:val="0"/>
            <w:sz w:val="19"/>
            <w:szCs w:val="19"/>
            <w:bdr w:val="none" w:sz="0" w:space="0" w:color="auto" w:frame="1"/>
            <w14:ligatures w14:val="none"/>
          </w:rPr>
          <w:t>20 U.S.C. 1400 et seq., The Individuals with Disabilities Education Improvement Act of 2004 (IDEIA)</w:t>
        </w:r>
      </w:hyperlink>
    </w:p>
    <w:p w14:paraId="3B9B2485" w14:textId="77777777" w:rsidR="003B7D0D" w:rsidRPr="003B7D0D" w:rsidRDefault="003B7D0D" w:rsidP="003B7D0D">
      <w:pPr>
        <w:shd w:val="clear" w:color="auto" w:fill="FFFFFF"/>
        <w:spacing w:after="0" w:line="240" w:lineRule="auto"/>
        <w:textAlignment w:val="top"/>
        <w:rPr>
          <w:rFonts w:ascii="inherit" w:eastAsia="Times New Roman" w:hAnsi="inherit" w:cs="Times New Roman"/>
          <w:color w:val="333333"/>
          <w:kern w:val="0"/>
          <w:sz w:val="19"/>
          <w:szCs w:val="19"/>
          <w14:ligatures w14:val="none"/>
        </w:rPr>
      </w:pPr>
      <w:hyperlink r:id="rId7" w:tgtFrame="_blank" w:history="1">
        <w:r w:rsidRPr="003B7D0D">
          <w:rPr>
            <w:rFonts w:ascii="inherit" w:eastAsia="Times New Roman" w:hAnsi="inherit" w:cs="Times New Roman"/>
            <w:color w:val="333333"/>
            <w:kern w:val="0"/>
            <w:sz w:val="19"/>
            <w:szCs w:val="19"/>
            <w:bdr w:val="none" w:sz="0" w:space="0" w:color="auto" w:frame="1"/>
            <w14:ligatures w14:val="none"/>
          </w:rPr>
          <w:t>42 U.S.C. 2000c et seq., Title IV of the Civil Rights Act of 1964</w:t>
        </w:r>
      </w:hyperlink>
    </w:p>
    <w:p w14:paraId="49D4DB2E" w14:textId="77777777" w:rsidR="003B7D0D" w:rsidRPr="003B7D0D" w:rsidRDefault="003B7D0D" w:rsidP="003B7D0D">
      <w:pPr>
        <w:shd w:val="clear" w:color="auto" w:fill="FFFFFF"/>
        <w:spacing w:after="0" w:line="240" w:lineRule="auto"/>
        <w:textAlignment w:val="top"/>
        <w:rPr>
          <w:rFonts w:ascii="inherit" w:eastAsia="Times New Roman" w:hAnsi="inherit" w:cs="Times New Roman"/>
          <w:color w:val="333333"/>
          <w:kern w:val="0"/>
          <w:sz w:val="19"/>
          <w:szCs w:val="19"/>
          <w:lang w:val="fr-FR"/>
          <w14:ligatures w14:val="none"/>
        </w:rPr>
      </w:pPr>
      <w:hyperlink r:id="rId8" w:tgtFrame="_blank" w:history="1">
        <w:r w:rsidRPr="003B7D0D">
          <w:rPr>
            <w:rFonts w:ascii="inherit" w:eastAsia="Times New Roman" w:hAnsi="inherit" w:cs="Times New Roman"/>
            <w:color w:val="333333"/>
            <w:kern w:val="0"/>
            <w:sz w:val="19"/>
            <w:szCs w:val="19"/>
            <w:bdr w:val="none" w:sz="0" w:space="0" w:color="auto" w:frame="1"/>
            <w:lang w:val="fr-FR"/>
            <w14:ligatures w14:val="none"/>
          </w:rPr>
          <w:t>42 U.S.C. 2000d et seq.</w:t>
        </w:r>
      </w:hyperlink>
    </w:p>
    <w:p w14:paraId="05E95DE3" w14:textId="77777777" w:rsidR="003B7D0D" w:rsidRPr="003B7D0D" w:rsidRDefault="003B7D0D" w:rsidP="003B7D0D">
      <w:pPr>
        <w:shd w:val="clear" w:color="auto" w:fill="FFFFFF"/>
        <w:spacing w:after="0" w:line="240" w:lineRule="auto"/>
        <w:textAlignment w:val="top"/>
        <w:rPr>
          <w:rFonts w:ascii="inherit" w:eastAsia="Times New Roman" w:hAnsi="inherit" w:cs="Times New Roman"/>
          <w:color w:val="333333"/>
          <w:kern w:val="0"/>
          <w:sz w:val="19"/>
          <w:szCs w:val="19"/>
          <w:lang w:val="fr-FR"/>
          <w14:ligatures w14:val="none"/>
        </w:rPr>
      </w:pPr>
      <w:hyperlink r:id="rId9" w:tgtFrame="_blank" w:history="1">
        <w:r w:rsidRPr="003B7D0D">
          <w:rPr>
            <w:rFonts w:ascii="inherit" w:eastAsia="Times New Roman" w:hAnsi="inherit" w:cs="Times New Roman"/>
            <w:color w:val="333333"/>
            <w:kern w:val="0"/>
            <w:sz w:val="19"/>
            <w:szCs w:val="19"/>
            <w:bdr w:val="none" w:sz="0" w:space="0" w:color="auto" w:frame="1"/>
            <w:lang w:val="fr-FR"/>
            <w14:ligatures w14:val="none"/>
          </w:rPr>
          <w:t>42 U.S.C. 2000e et seq.</w:t>
        </w:r>
      </w:hyperlink>
    </w:p>
    <w:p w14:paraId="64C38FB3" w14:textId="77777777" w:rsidR="003B7D0D" w:rsidRPr="003B7D0D" w:rsidRDefault="003B7D0D" w:rsidP="003B7D0D">
      <w:pPr>
        <w:shd w:val="clear" w:color="auto" w:fill="FFFFFF"/>
        <w:spacing w:after="0" w:line="240" w:lineRule="auto"/>
        <w:textAlignment w:val="top"/>
        <w:rPr>
          <w:rFonts w:ascii="inherit" w:eastAsia="Times New Roman" w:hAnsi="inherit" w:cs="Times New Roman"/>
          <w:color w:val="333333"/>
          <w:kern w:val="0"/>
          <w:sz w:val="19"/>
          <w:szCs w:val="19"/>
          <w14:ligatures w14:val="none"/>
        </w:rPr>
      </w:pPr>
      <w:hyperlink r:id="rId10" w:tgtFrame="_blank" w:history="1">
        <w:r w:rsidRPr="003B7D0D">
          <w:rPr>
            <w:rFonts w:ascii="inherit" w:eastAsia="Times New Roman" w:hAnsi="inherit" w:cs="Times New Roman"/>
            <w:color w:val="333333"/>
            <w:kern w:val="0"/>
            <w:sz w:val="19"/>
            <w:szCs w:val="19"/>
            <w:bdr w:val="none" w:sz="0" w:space="0" w:color="auto" w:frame="1"/>
            <w14:ligatures w14:val="none"/>
          </w:rPr>
          <w:t>42 U.S.C. 1983</w:t>
        </w:r>
      </w:hyperlink>
    </w:p>
    <w:p w14:paraId="3D6CB5BF" w14:textId="77777777" w:rsidR="003B7D0D" w:rsidRPr="003B7D0D" w:rsidRDefault="003B7D0D" w:rsidP="003B7D0D">
      <w:pPr>
        <w:shd w:val="clear" w:color="auto" w:fill="FFFFFF"/>
        <w:spacing w:after="0" w:line="240" w:lineRule="auto"/>
        <w:textAlignment w:val="top"/>
        <w:rPr>
          <w:rFonts w:ascii="inherit" w:eastAsia="Times New Roman" w:hAnsi="inherit" w:cs="Times New Roman"/>
          <w:color w:val="333333"/>
          <w:kern w:val="0"/>
          <w:sz w:val="19"/>
          <w:szCs w:val="19"/>
          <w14:ligatures w14:val="none"/>
        </w:rPr>
      </w:pPr>
      <w:hyperlink r:id="rId11" w:tgtFrame="_blank" w:history="1">
        <w:r w:rsidRPr="003B7D0D">
          <w:rPr>
            <w:rFonts w:ascii="inherit" w:eastAsia="Times New Roman" w:hAnsi="inherit" w:cs="Times New Roman"/>
            <w:color w:val="333333"/>
            <w:kern w:val="0"/>
            <w:sz w:val="19"/>
            <w:szCs w:val="19"/>
            <w:bdr w:val="none" w:sz="0" w:space="0" w:color="auto" w:frame="1"/>
            <w14:ligatures w14:val="none"/>
          </w:rPr>
          <w:t>34 C.F.R. Part 106</w:t>
        </w:r>
      </w:hyperlink>
    </w:p>
    <w:p w14:paraId="0E85338F" w14:textId="77777777" w:rsidR="003B7D0D" w:rsidRPr="003B7D0D" w:rsidRDefault="003B7D0D" w:rsidP="003B7D0D">
      <w:pPr>
        <w:shd w:val="clear" w:color="auto" w:fill="FFFFFF"/>
        <w:spacing w:after="0" w:line="240" w:lineRule="auto"/>
        <w:textAlignment w:val="top"/>
        <w:rPr>
          <w:rFonts w:ascii="inherit" w:eastAsia="Times New Roman" w:hAnsi="inherit" w:cs="Times New Roman"/>
          <w:color w:val="333333"/>
          <w:kern w:val="0"/>
          <w:sz w:val="19"/>
          <w:szCs w:val="19"/>
          <w14:ligatures w14:val="none"/>
        </w:rPr>
      </w:pPr>
      <w:hyperlink r:id="rId12" w:tgtFrame="_blank" w:history="1">
        <w:r w:rsidRPr="003B7D0D">
          <w:rPr>
            <w:rFonts w:ascii="inherit" w:eastAsia="Times New Roman" w:hAnsi="inherit" w:cs="Times New Roman"/>
            <w:color w:val="333333"/>
            <w:kern w:val="0"/>
            <w:sz w:val="19"/>
            <w:szCs w:val="19"/>
            <w:bdr w:val="none" w:sz="0" w:space="0" w:color="auto" w:frame="1"/>
            <w14:ligatures w14:val="none"/>
          </w:rPr>
          <w:t>Dear Colleague Letter on Sexual Violence (Office for Civil Rights, 2011)</w:t>
        </w:r>
      </w:hyperlink>
    </w:p>
    <w:p w14:paraId="2717C041" w14:textId="77777777" w:rsidR="003B7D0D" w:rsidRPr="003B7D0D" w:rsidRDefault="003B7D0D" w:rsidP="003B7D0D">
      <w:pPr>
        <w:shd w:val="clear" w:color="auto" w:fill="FFFFFF"/>
        <w:spacing w:after="0" w:line="240" w:lineRule="auto"/>
        <w:textAlignment w:val="top"/>
        <w:rPr>
          <w:rFonts w:ascii="inherit" w:eastAsia="Times New Roman" w:hAnsi="inherit" w:cs="Times New Roman"/>
          <w:color w:val="333333"/>
          <w:kern w:val="0"/>
          <w:sz w:val="19"/>
          <w:szCs w:val="19"/>
          <w14:ligatures w14:val="none"/>
        </w:rPr>
      </w:pPr>
      <w:hyperlink r:id="rId13" w:tgtFrame="_blank" w:history="1">
        <w:r w:rsidRPr="003B7D0D">
          <w:rPr>
            <w:rFonts w:ascii="inherit" w:eastAsia="Times New Roman" w:hAnsi="inherit" w:cs="Times New Roman"/>
            <w:color w:val="333333"/>
            <w:kern w:val="0"/>
            <w:sz w:val="19"/>
            <w:szCs w:val="19"/>
            <w:bdr w:val="none" w:sz="0" w:space="0" w:color="auto" w:frame="1"/>
            <w14:ligatures w14:val="none"/>
          </w:rPr>
          <w:t>F.S. 1000.05</w:t>
        </w:r>
      </w:hyperlink>
    </w:p>
    <w:p w14:paraId="55374625" w14:textId="77777777" w:rsidR="003B7D0D" w:rsidRPr="003B7D0D" w:rsidRDefault="003B7D0D" w:rsidP="003B7D0D">
      <w:pPr>
        <w:shd w:val="clear" w:color="auto" w:fill="FFFFFF"/>
        <w:spacing w:after="0" w:line="240" w:lineRule="auto"/>
        <w:textAlignment w:val="top"/>
        <w:rPr>
          <w:rFonts w:ascii="inherit" w:eastAsia="Times New Roman" w:hAnsi="inherit" w:cs="Times New Roman"/>
          <w:color w:val="333333"/>
          <w:kern w:val="0"/>
          <w:sz w:val="19"/>
          <w:szCs w:val="19"/>
          <w14:ligatures w14:val="none"/>
        </w:rPr>
      </w:pPr>
      <w:hyperlink r:id="rId14" w:tgtFrame="_blank" w:history="1">
        <w:r w:rsidRPr="003B7D0D">
          <w:rPr>
            <w:rFonts w:ascii="inherit" w:eastAsia="Times New Roman" w:hAnsi="inherit" w:cs="Times New Roman"/>
            <w:color w:val="333333"/>
            <w:kern w:val="0"/>
            <w:sz w:val="19"/>
            <w:szCs w:val="19"/>
            <w:bdr w:val="none" w:sz="0" w:space="0" w:color="auto" w:frame="1"/>
            <w14:ligatures w14:val="none"/>
          </w:rPr>
          <w:t>OCRs Revised Sexual Harassment Guidance (2001)</w:t>
        </w:r>
      </w:hyperlink>
    </w:p>
    <w:p w14:paraId="21FB961B" w14:textId="77777777" w:rsidR="00C87920" w:rsidRDefault="00C87920"/>
    <w:sectPr w:rsidR="00C87920" w:rsidSect="00AB1A98">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inherit">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95594"/>
    <w:multiLevelType w:val="multilevel"/>
    <w:tmpl w:val="CCD45BEE"/>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08362C28"/>
    <w:multiLevelType w:val="multilevel"/>
    <w:tmpl w:val="7FF4271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A9F2314"/>
    <w:multiLevelType w:val="multilevel"/>
    <w:tmpl w:val="EF4CF3A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 w15:restartNumberingAfterBreak="0">
    <w:nsid w:val="14F41308"/>
    <w:multiLevelType w:val="multilevel"/>
    <w:tmpl w:val="94B8C24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 w15:restartNumberingAfterBreak="0">
    <w:nsid w:val="16F275BE"/>
    <w:multiLevelType w:val="multilevel"/>
    <w:tmpl w:val="98EAC2D4"/>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 w15:restartNumberingAfterBreak="0">
    <w:nsid w:val="181C1CCE"/>
    <w:multiLevelType w:val="multilevel"/>
    <w:tmpl w:val="A8C401F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 w15:restartNumberingAfterBreak="0">
    <w:nsid w:val="200A5B05"/>
    <w:multiLevelType w:val="multilevel"/>
    <w:tmpl w:val="2A1A712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 w15:restartNumberingAfterBreak="0">
    <w:nsid w:val="229B3D24"/>
    <w:multiLevelType w:val="multilevel"/>
    <w:tmpl w:val="B654618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 w15:restartNumberingAfterBreak="0">
    <w:nsid w:val="2D24005D"/>
    <w:multiLevelType w:val="multilevel"/>
    <w:tmpl w:val="22CC68D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9" w15:restartNumberingAfterBreak="0">
    <w:nsid w:val="369362F7"/>
    <w:multiLevelType w:val="multilevel"/>
    <w:tmpl w:val="D6AAEDF4"/>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0" w15:restartNumberingAfterBreak="0">
    <w:nsid w:val="3CFC3E7B"/>
    <w:multiLevelType w:val="multilevel"/>
    <w:tmpl w:val="79D42124"/>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 w15:restartNumberingAfterBreak="0">
    <w:nsid w:val="4BD43C6D"/>
    <w:multiLevelType w:val="multilevel"/>
    <w:tmpl w:val="D7B4C9B4"/>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2" w15:restartNumberingAfterBreak="0">
    <w:nsid w:val="510036DB"/>
    <w:multiLevelType w:val="multilevel"/>
    <w:tmpl w:val="6B900CB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3" w15:restartNumberingAfterBreak="0">
    <w:nsid w:val="537571D7"/>
    <w:multiLevelType w:val="multilevel"/>
    <w:tmpl w:val="0CE2B794"/>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4" w15:restartNumberingAfterBreak="0">
    <w:nsid w:val="5B1217AB"/>
    <w:multiLevelType w:val="multilevel"/>
    <w:tmpl w:val="3F90DB9E"/>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5" w15:restartNumberingAfterBreak="0">
    <w:nsid w:val="5B546F81"/>
    <w:multiLevelType w:val="multilevel"/>
    <w:tmpl w:val="FEF242B2"/>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6" w15:restartNumberingAfterBreak="0">
    <w:nsid w:val="6179255D"/>
    <w:multiLevelType w:val="multilevel"/>
    <w:tmpl w:val="54163CB4"/>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7" w15:restartNumberingAfterBreak="0">
    <w:nsid w:val="726C76A8"/>
    <w:multiLevelType w:val="multilevel"/>
    <w:tmpl w:val="C750DAB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8" w15:restartNumberingAfterBreak="0">
    <w:nsid w:val="72AB6A4A"/>
    <w:multiLevelType w:val="multilevel"/>
    <w:tmpl w:val="E6F83A5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9" w15:restartNumberingAfterBreak="0">
    <w:nsid w:val="75A10204"/>
    <w:multiLevelType w:val="multilevel"/>
    <w:tmpl w:val="0D8297F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0" w15:restartNumberingAfterBreak="0">
    <w:nsid w:val="778F6FAF"/>
    <w:multiLevelType w:val="multilevel"/>
    <w:tmpl w:val="B9B01E1E"/>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1" w15:restartNumberingAfterBreak="0">
    <w:nsid w:val="792A257F"/>
    <w:multiLevelType w:val="multilevel"/>
    <w:tmpl w:val="4A122AB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16cid:durableId="391738500">
    <w:abstractNumId w:val="15"/>
  </w:num>
  <w:num w:numId="2" w16cid:durableId="1211764106">
    <w:abstractNumId w:val="11"/>
  </w:num>
  <w:num w:numId="3" w16cid:durableId="1704672219">
    <w:abstractNumId w:val="6"/>
  </w:num>
  <w:num w:numId="4" w16cid:durableId="1426027904">
    <w:abstractNumId w:val="19"/>
  </w:num>
  <w:num w:numId="5" w16cid:durableId="263925427">
    <w:abstractNumId w:val="18"/>
  </w:num>
  <w:num w:numId="6" w16cid:durableId="383221027">
    <w:abstractNumId w:val="13"/>
  </w:num>
  <w:num w:numId="7" w16cid:durableId="459152349">
    <w:abstractNumId w:val="21"/>
  </w:num>
  <w:num w:numId="8" w16cid:durableId="1627007897">
    <w:abstractNumId w:val="3"/>
  </w:num>
  <w:num w:numId="9" w16cid:durableId="1371952390">
    <w:abstractNumId w:val="10"/>
  </w:num>
  <w:num w:numId="10" w16cid:durableId="10188885">
    <w:abstractNumId w:val="2"/>
  </w:num>
  <w:num w:numId="11" w16cid:durableId="439842088">
    <w:abstractNumId w:val="8"/>
  </w:num>
  <w:num w:numId="12" w16cid:durableId="1684433009">
    <w:abstractNumId w:val="14"/>
  </w:num>
  <w:num w:numId="13" w16cid:durableId="392703315">
    <w:abstractNumId w:val="0"/>
  </w:num>
  <w:num w:numId="14" w16cid:durableId="1820875878">
    <w:abstractNumId w:val="4"/>
  </w:num>
  <w:num w:numId="15" w16cid:durableId="490412600">
    <w:abstractNumId w:val="1"/>
  </w:num>
  <w:num w:numId="16" w16cid:durableId="1957757077">
    <w:abstractNumId w:val="5"/>
  </w:num>
  <w:num w:numId="17" w16cid:durableId="1483036626">
    <w:abstractNumId w:val="20"/>
  </w:num>
  <w:num w:numId="18" w16cid:durableId="1470593793">
    <w:abstractNumId w:val="12"/>
  </w:num>
  <w:num w:numId="19" w16cid:durableId="786310422">
    <w:abstractNumId w:val="7"/>
  </w:num>
  <w:num w:numId="20" w16cid:durableId="2051569179">
    <w:abstractNumId w:val="17"/>
  </w:num>
  <w:num w:numId="21" w16cid:durableId="856188199">
    <w:abstractNumId w:val="9"/>
  </w:num>
  <w:num w:numId="22" w16cid:durableId="7413673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D0D"/>
    <w:rsid w:val="000766FF"/>
    <w:rsid w:val="00210C89"/>
    <w:rsid w:val="00270F39"/>
    <w:rsid w:val="00302744"/>
    <w:rsid w:val="00363EB1"/>
    <w:rsid w:val="003B7D0D"/>
    <w:rsid w:val="00545BDA"/>
    <w:rsid w:val="005F4192"/>
    <w:rsid w:val="00624EC1"/>
    <w:rsid w:val="00672A1F"/>
    <w:rsid w:val="007F25DE"/>
    <w:rsid w:val="00AB1A98"/>
    <w:rsid w:val="00C87920"/>
    <w:rsid w:val="00CA5C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EF7A6"/>
  <w15:chartTrackingRefBased/>
  <w15:docId w15:val="{6BBF7E6B-E997-4C77-9B5E-C211BEB0A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Arial"/>
        <w:kern w:val="2"/>
        <w:sz w:val="24"/>
        <w:szCs w:val="24"/>
        <w:lang w:val="en-US" w:eastAsia="en-US" w:bidi="ar-SA"/>
        <w14:ligatures w14:val="standardContextual"/>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7D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7D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7D0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7D0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B7D0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B7D0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B7D0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B7D0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B7D0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7D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7D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7D0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7D0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B7D0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B7D0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B7D0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B7D0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B7D0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B7D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7D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7D0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7D0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B7D0D"/>
    <w:pPr>
      <w:spacing w:before="160"/>
      <w:jc w:val="center"/>
    </w:pPr>
    <w:rPr>
      <w:i/>
      <w:iCs/>
      <w:color w:val="404040" w:themeColor="text1" w:themeTint="BF"/>
    </w:rPr>
  </w:style>
  <w:style w:type="character" w:customStyle="1" w:styleId="QuoteChar">
    <w:name w:val="Quote Char"/>
    <w:basedOn w:val="DefaultParagraphFont"/>
    <w:link w:val="Quote"/>
    <w:uiPriority w:val="29"/>
    <w:rsid w:val="003B7D0D"/>
    <w:rPr>
      <w:i/>
      <w:iCs/>
      <w:color w:val="404040" w:themeColor="text1" w:themeTint="BF"/>
    </w:rPr>
  </w:style>
  <w:style w:type="paragraph" w:styleId="ListParagraph">
    <w:name w:val="List Paragraph"/>
    <w:basedOn w:val="Normal"/>
    <w:uiPriority w:val="34"/>
    <w:qFormat/>
    <w:rsid w:val="003B7D0D"/>
    <w:pPr>
      <w:ind w:left="720"/>
      <w:contextualSpacing/>
    </w:pPr>
  </w:style>
  <w:style w:type="character" w:styleId="IntenseEmphasis">
    <w:name w:val="Intense Emphasis"/>
    <w:basedOn w:val="DefaultParagraphFont"/>
    <w:uiPriority w:val="21"/>
    <w:qFormat/>
    <w:rsid w:val="003B7D0D"/>
    <w:rPr>
      <w:i/>
      <w:iCs/>
      <w:color w:val="0F4761" w:themeColor="accent1" w:themeShade="BF"/>
    </w:rPr>
  </w:style>
  <w:style w:type="paragraph" w:styleId="IntenseQuote">
    <w:name w:val="Intense Quote"/>
    <w:basedOn w:val="Normal"/>
    <w:next w:val="Normal"/>
    <w:link w:val="IntenseQuoteChar"/>
    <w:uiPriority w:val="30"/>
    <w:qFormat/>
    <w:rsid w:val="003B7D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7D0D"/>
    <w:rPr>
      <w:i/>
      <w:iCs/>
      <w:color w:val="0F4761" w:themeColor="accent1" w:themeShade="BF"/>
    </w:rPr>
  </w:style>
  <w:style w:type="character" w:styleId="IntenseReference">
    <w:name w:val="Intense Reference"/>
    <w:basedOn w:val="DefaultParagraphFont"/>
    <w:uiPriority w:val="32"/>
    <w:qFormat/>
    <w:rsid w:val="003B7D0D"/>
    <w:rPr>
      <w:b/>
      <w:bCs/>
      <w:smallCaps/>
      <w:color w:val="0F4761" w:themeColor="accent1" w:themeShade="BF"/>
      <w:spacing w:val="5"/>
    </w:rPr>
  </w:style>
  <w:style w:type="character" w:styleId="Hyperlink">
    <w:name w:val="Hyperlink"/>
    <w:basedOn w:val="DefaultParagraphFont"/>
    <w:uiPriority w:val="99"/>
    <w:unhideWhenUsed/>
    <w:rsid w:val="003B7D0D"/>
    <w:rPr>
      <w:color w:val="467886" w:themeColor="hyperlink"/>
      <w:u w:val="single"/>
    </w:rPr>
  </w:style>
  <w:style w:type="character" w:styleId="UnresolvedMention">
    <w:name w:val="Unresolved Mention"/>
    <w:basedOn w:val="DefaultParagraphFont"/>
    <w:uiPriority w:val="99"/>
    <w:semiHidden/>
    <w:unhideWhenUsed/>
    <w:rsid w:val="003B7D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uscode.house.gov/view.xhtml?req=(title:42%20section:2000d%20edition:prelim)%20OR%20(granuleid:USC-prelim-title42-section2000d)&amp;f=treesort&amp;edition=prelim&amp;num=0&amp;jumpTo=true" TargetMode="External"/><Relationship Id="rId13" Type="http://schemas.openxmlformats.org/officeDocument/2006/relationships/hyperlink" Target="http://www.leg.state.fl.us/Statutes/index.cfm?App_mode=Display_Statute&amp;URL=1000-1099/1000/Sections/1000.05.html" TargetMode="External"/><Relationship Id="rId3" Type="http://schemas.openxmlformats.org/officeDocument/2006/relationships/settings" Target="settings.xml"/><Relationship Id="rId7" Type="http://schemas.openxmlformats.org/officeDocument/2006/relationships/hyperlink" Target="http://uscode.house.gov/view.xhtml?req=(title:42%20section:2000c%20edition:prelim)%20OR%20(granuleid:USC-prelim-title42-section2000c)&amp;f=treesort&amp;edition=prelim&amp;num=0&amp;jumpTo=true" TargetMode="External"/><Relationship Id="rId12" Type="http://schemas.openxmlformats.org/officeDocument/2006/relationships/hyperlink" Target="https://www2.ed.gov/about/offices/list/ocr/letters/colleague-201104.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uscode.house.gov/view.xhtml?req=(title:20%20section:1400%20edition:prelim)%20OR%20(granuleid:USC-prelim-title20-section1400)&amp;f=treesort&amp;edition=prelim&amp;num=0&amp;jumpTo=true" TargetMode="External"/><Relationship Id="rId11" Type="http://schemas.openxmlformats.org/officeDocument/2006/relationships/hyperlink" Target="http://www.ecfr.gov/cgi-bin/text-idx?SID=4c92bb70a0974bcc380fd2a0c4e54380&amp;mc=true&amp;node=pt34.1.106&amp;rgn=div5" TargetMode="External"/><Relationship Id="rId5" Type="http://schemas.openxmlformats.org/officeDocument/2006/relationships/hyperlink" Target="http://uscode.house.gov/view.xhtml?req=(title:20%20section:1681%20edition:prelim)%20OR%20(granuleid:USC-prelim-title20-section1681)&amp;f=treesort&amp;edition=prelim&amp;num=0&amp;jumpTo=true" TargetMode="External"/><Relationship Id="rId15" Type="http://schemas.openxmlformats.org/officeDocument/2006/relationships/fontTable" Target="fontTable.xml"/><Relationship Id="rId10" Type="http://schemas.openxmlformats.org/officeDocument/2006/relationships/hyperlink" Target="http://uscode.house.gov/view.xhtml?req=(title:42%20section:1983%20edition:prelim)%20OR%20(granuleid:USC-prelim-title42-section1983)&amp;f=treesort&amp;edition=prelim&amp;num=0&amp;jumpTo=true" TargetMode="External"/><Relationship Id="rId4" Type="http://schemas.openxmlformats.org/officeDocument/2006/relationships/webSettings" Target="webSettings.xml"/><Relationship Id="rId9" Type="http://schemas.openxmlformats.org/officeDocument/2006/relationships/hyperlink" Target="http://uscode.house.gov/view.xhtml?req=(title:42%20section:2000e%20edition:prelim)%20OR%20(granuleid:USC-prelim-title42-section2000e)&amp;f=treesort&amp;edition=prelim&amp;num=0&amp;jumpTo=true" TargetMode="External"/><Relationship Id="rId14" Type="http://schemas.openxmlformats.org/officeDocument/2006/relationships/hyperlink" Target="https://www2.ed.gov/about/offices/list/ocr/docs/shguid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8107</Words>
  <Characters>46210</Characters>
  <Application>Microsoft Office Word</Application>
  <DocSecurity>0</DocSecurity>
  <Lines>385</Lines>
  <Paragraphs>108</Paragraphs>
  <ScaleCrop>false</ScaleCrop>
  <Company/>
  <LinksUpToDate>false</LinksUpToDate>
  <CharactersWithSpaces>54209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Parker</dc:creator>
  <cp:keywords/>
  <dc:description/>
  <cp:lastModifiedBy>Richard Parker</cp:lastModifiedBy>
  <cp:revision>1</cp:revision>
  <dcterms:created xsi:type="dcterms:W3CDTF">2026-05-15T14:56:00Z</dcterms:created>
  <dcterms:modified xsi:type="dcterms:W3CDTF">2026-05-15T14:57:00Z</dcterms:modified>
</cp:coreProperties>
</file>